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AA2" w14:textId="77777777" w:rsidR="00C530C4" w:rsidRDefault="00C530C4">
      <w:pPr>
        <w:pStyle w:val="CMT"/>
        <w:rPr>
          <w:b/>
          <w:sz w:val="20"/>
        </w:rPr>
      </w:pPr>
      <w:r>
        <w:rPr>
          <w:b/>
          <w:sz w:val="20"/>
        </w:rPr>
        <w:t>MASTERSPEC Short Form Copyright 1999, The American Institute of Architects (AIA)</w:t>
      </w:r>
    </w:p>
    <w:p w14:paraId="0F9BF277" w14:textId="77777777" w:rsidR="00C530C4" w:rsidRDefault="00C530C4">
      <w:pPr>
        <w:pStyle w:val="SCT"/>
        <w:spacing w:before="0"/>
        <w:rPr>
          <w:b/>
          <w:sz w:val="20"/>
        </w:rPr>
      </w:pPr>
      <w:r>
        <w:rPr>
          <w:b/>
          <w:sz w:val="20"/>
        </w:rPr>
        <w:t>SECTION 16521 - EXTERIOR LIGHTING</w:t>
      </w:r>
    </w:p>
    <w:p w14:paraId="6CB16B23" w14:textId="77777777" w:rsidR="00C530C4" w:rsidRDefault="00C530C4">
      <w:pPr>
        <w:pStyle w:val="PRT"/>
        <w:rPr>
          <w:sz w:val="20"/>
        </w:rPr>
      </w:pPr>
      <w:r>
        <w:rPr>
          <w:sz w:val="20"/>
        </w:rPr>
        <w:t>GENERAL</w:t>
      </w:r>
    </w:p>
    <w:p w14:paraId="6D68087C" w14:textId="77777777" w:rsidR="00C530C4" w:rsidRDefault="00C530C4">
      <w:pPr>
        <w:pStyle w:val="ART"/>
        <w:tabs>
          <w:tab w:val="clear" w:pos="864"/>
          <w:tab w:val="left" w:pos="720"/>
        </w:tabs>
        <w:ind w:left="720" w:hanging="720"/>
        <w:rPr>
          <w:sz w:val="20"/>
        </w:rPr>
      </w:pPr>
      <w:r>
        <w:rPr>
          <w:sz w:val="20"/>
        </w:rPr>
        <w:t>SUMMARY</w:t>
      </w:r>
    </w:p>
    <w:p w14:paraId="4B1A771B" w14:textId="77777777" w:rsidR="0004464D" w:rsidRDefault="0004464D" w:rsidP="0004464D">
      <w:pPr>
        <w:pStyle w:val="PR1"/>
        <w:tabs>
          <w:tab w:val="clear" w:pos="864"/>
        </w:tabs>
        <w:spacing w:before="0"/>
        <w:ind w:left="720" w:hanging="540"/>
        <w:outlineLvl w:val="9"/>
        <w:rPr>
          <w:sz w:val="20"/>
        </w:rPr>
      </w:pPr>
      <w:r>
        <w:rPr>
          <w:sz w:val="20"/>
        </w:rPr>
        <w:t xml:space="preserve">This Section includes exterior light fixtures that are considered part of the building lighting package.  The exterior light fixtures </w:t>
      </w:r>
      <w:r w:rsidR="006B299A">
        <w:rPr>
          <w:sz w:val="20"/>
        </w:rPr>
        <w:t>are</w:t>
      </w:r>
      <w:r w:rsidR="00E75B38">
        <w:rPr>
          <w:sz w:val="20"/>
        </w:rPr>
        <w:t xml:space="preserve"> Owner furnished </w:t>
      </w:r>
      <w:r w:rsidR="006B299A">
        <w:rPr>
          <w:sz w:val="20"/>
        </w:rPr>
        <w:t xml:space="preserve">and </w:t>
      </w:r>
      <w:r w:rsidR="00E75B38">
        <w:rPr>
          <w:sz w:val="20"/>
        </w:rPr>
        <w:t xml:space="preserve">the Lowe’s Construction Project Manager will obtain pricing and issue purchase orders.  </w:t>
      </w:r>
      <w:r>
        <w:rPr>
          <w:sz w:val="20"/>
        </w:rPr>
        <w:t>The Contractor is responsible for taking delivery of the lights, providing equipment to unload and store the lights, and protecting the lights until installed.  The Contractor shall coordinate delivery schedules with the supplier</w:t>
      </w:r>
      <w:r w:rsidR="00E75B38">
        <w:rPr>
          <w:sz w:val="20"/>
        </w:rPr>
        <w:t>,</w:t>
      </w:r>
      <w:r>
        <w:rPr>
          <w:sz w:val="20"/>
        </w:rPr>
        <w:t xml:space="preserve"> or the supplier’s agent</w:t>
      </w:r>
      <w:r w:rsidR="00E75B38">
        <w:rPr>
          <w:sz w:val="20"/>
        </w:rPr>
        <w:t>, or with the Lowe’s Construction Project Manager</w:t>
      </w:r>
      <w:r>
        <w:rPr>
          <w:sz w:val="20"/>
        </w:rPr>
        <w:t xml:space="preserve">.  The supplier will perform a quantity count and provide the number of fixtures based on this count.  Lowe’s will provide the drawings to the supplier.  The </w:t>
      </w:r>
      <w:r w:rsidR="00E75B38">
        <w:rPr>
          <w:sz w:val="20"/>
        </w:rPr>
        <w:t>supplier</w:t>
      </w:r>
      <w:r>
        <w:rPr>
          <w:sz w:val="20"/>
        </w:rPr>
        <w:t xml:space="preserve"> shall verify that the price is based on the correct plans according to the revision and issue dates</w:t>
      </w:r>
      <w:r w:rsidR="003548E1">
        <w:rPr>
          <w:sz w:val="20"/>
        </w:rPr>
        <w:t xml:space="preserve"> on the drawings</w:t>
      </w:r>
      <w:r w:rsidR="00E75B38">
        <w:rPr>
          <w:sz w:val="20"/>
        </w:rPr>
        <w:t xml:space="preserve"> and indicate the latest drawing issue date or revision date on the quote</w:t>
      </w:r>
      <w:r>
        <w:rPr>
          <w:sz w:val="20"/>
        </w:rPr>
        <w:t>.  The contractor, by signing the delivery receipt, acknowledges all components are on site and in good order.  After signing the delivery receipt the contractor will be responsible for all broken components, missing parts, and/or shortages</w:t>
      </w:r>
      <w:r w:rsidR="006B299A">
        <w:rPr>
          <w:sz w:val="20"/>
        </w:rPr>
        <w:t xml:space="preserve"> not reported within 24 hours of delivery</w:t>
      </w:r>
      <w:r>
        <w:rPr>
          <w:sz w:val="20"/>
        </w:rPr>
        <w:t>.</w:t>
      </w:r>
    </w:p>
    <w:p w14:paraId="51581C9A" w14:textId="77777777" w:rsidR="00C530C4" w:rsidRDefault="00C530C4">
      <w:pPr>
        <w:pStyle w:val="ART"/>
        <w:tabs>
          <w:tab w:val="clear" w:pos="864"/>
          <w:tab w:val="left" w:pos="720"/>
        </w:tabs>
        <w:ind w:left="720" w:hanging="720"/>
        <w:rPr>
          <w:sz w:val="20"/>
        </w:rPr>
      </w:pPr>
      <w:r>
        <w:rPr>
          <w:sz w:val="20"/>
        </w:rPr>
        <w:t>DEFINITIONS</w:t>
      </w:r>
    </w:p>
    <w:p w14:paraId="3C4E18F6" w14:textId="77777777" w:rsidR="00C530C4" w:rsidRDefault="00C530C4">
      <w:pPr>
        <w:pStyle w:val="PR1"/>
        <w:tabs>
          <w:tab w:val="clear" w:pos="864"/>
        </w:tabs>
        <w:spacing w:before="0"/>
        <w:ind w:left="720" w:hanging="540"/>
        <w:outlineLvl w:val="9"/>
        <w:rPr>
          <w:sz w:val="20"/>
        </w:rPr>
      </w:pPr>
      <w:r>
        <w:rPr>
          <w:sz w:val="20"/>
        </w:rPr>
        <w:t>Lighting Unit:  A luminaire or an assembly of luminaries complete with a common support, including pole, post, or other structure, and mounting and support accessories.</w:t>
      </w:r>
    </w:p>
    <w:p w14:paraId="1B20671E" w14:textId="77777777" w:rsidR="00C530C4" w:rsidRDefault="00C530C4">
      <w:pPr>
        <w:pStyle w:val="PR1"/>
        <w:tabs>
          <w:tab w:val="clear" w:pos="864"/>
        </w:tabs>
        <w:spacing w:before="0"/>
        <w:ind w:left="720" w:hanging="540"/>
        <w:outlineLvl w:val="9"/>
        <w:rPr>
          <w:sz w:val="20"/>
        </w:rPr>
      </w:pPr>
      <w:r>
        <w:rPr>
          <w:sz w:val="20"/>
        </w:rPr>
        <w:t>Luminaire (Light Fixture):  A complete lighting device consisting of lamp(s) and ballast(s), when applicable, together with parts designed to distribute light, to position and protect lamps, and to connect lamps to power supply.</w:t>
      </w:r>
    </w:p>
    <w:p w14:paraId="4520A3E5" w14:textId="77777777" w:rsidR="00C530C4" w:rsidRDefault="00C530C4">
      <w:pPr>
        <w:pStyle w:val="ART"/>
        <w:tabs>
          <w:tab w:val="clear" w:pos="864"/>
          <w:tab w:val="left" w:pos="720"/>
        </w:tabs>
        <w:ind w:left="720" w:hanging="720"/>
        <w:rPr>
          <w:sz w:val="20"/>
        </w:rPr>
      </w:pPr>
      <w:r>
        <w:rPr>
          <w:sz w:val="20"/>
        </w:rPr>
        <w:t>SUBMITTALS</w:t>
      </w:r>
    </w:p>
    <w:p w14:paraId="103C524C" w14:textId="77777777" w:rsidR="00C530C4" w:rsidRDefault="00C530C4">
      <w:pPr>
        <w:pStyle w:val="PR1"/>
        <w:tabs>
          <w:tab w:val="clear" w:pos="864"/>
        </w:tabs>
        <w:spacing w:before="0"/>
        <w:ind w:left="720" w:hanging="540"/>
        <w:outlineLvl w:val="9"/>
        <w:rPr>
          <w:sz w:val="20"/>
        </w:rPr>
      </w:pPr>
      <w:r>
        <w:rPr>
          <w:sz w:val="20"/>
        </w:rPr>
        <w:t>Shop Drawings:  Fixtures, Poles, and Anchor-bolt templates keyed to specific poles and certified by manufacturer.</w:t>
      </w:r>
      <w:r w:rsidR="0004464D">
        <w:rPr>
          <w:sz w:val="20"/>
        </w:rPr>
        <w:t xml:space="preserve">  ONLY required for any pole or fixture that is not part of the National Account price agreement. The supplier will make the Lowe’s engineer aware of any fixture not in the agreement and the supplier will be responsible for getting fixtures approved with the Lowe’s engineer.</w:t>
      </w:r>
    </w:p>
    <w:p w14:paraId="752DF9BC" w14:textId="77777777" w:rsidR="00C530C4" w:rsidRDefault="00C530C4">
      <w:pPr>
        <w:pStyle w:val="CMT"/>
        <w:tabs>
          <w:tab w:val="left" w:pos="720"/>
        </w:tabs>
        <w:ind w:left="720" w:hanging="720"/>
        <w:rPr>
          <w:sz w:val="20"/>
        </w:rPr>
      </w:pPr>
      <w:r>
        <w:rPr>
          <w:sz w:val="20"/>
        </w:rPr>
        <w:t>Delete below if not required.  Coordinate with schedule and details on Drawings.</w:t>
      </w:r>
    </w:p>
    <w:p w14:paraId="7FD2901D" w14:textId="77777777" w:rsidR="00C530C4" w:rsidRDefault="00C530C4">
      <w:pPr>
        <w:pStyle w:val="ART"/>
        <w:tabs>
          <w:tab w:val="clear" w:pos="864"/>
          <w:tab w:val="left" w:pos="720"/>
        </w:tabs>
        <w:ind w:left="720" w:hanging="720"/>
        <w:rPr>
          <w:sz w:val="20"/>
        </w:rPr>
      </w:pPr>
      <w:r>
        <w:rPr>
          <w:sz w:val="20"/>
        </w:rPr>
        <w:t>QUALITY ASSURANCE</w:t>
      </w:r>
    </w:p>
    <w:p w14:paraId="4BEF9B40" w14:textId="77777777" w:rsidR="00C530C4" w:rsidRDefault="00C530C4">
      <w:pPr>
        <w:pStyle w:val="PR1"/>
        <w:tabs>
          <w:tab w:val="clear" w:pos="864"/>
        </w:tabs>
        <w:spacing w:before="0"/>
        <w:ind w:left="720" w:hanging="540"/>
        <w:outlineLvl w:val="9"/>
        <w:rPr>
          <w:sz w:val="20"/>
        </w:rPr>
      </w:pPr>
      <w:r>
        <w:rPr>
          <w:sz w:val="20"/>
        </w:rPr>
        <w:t>Luminaries and Accessories:  Listed and labeled as defined in NFPA 70, Article 100, and marked for their indicated use, location, and installation conditions by a testing agency acceptable to authorities having jurisdiction</w:t>
      </w:r>
    </w:p>
    <w:p w14:paraId="4223C3B0" w14:textId="77777777" w:rsidR="00C530C4" w:rsidRDefault="00C530C4">
      <w:pPr>
        <w:pStyle w:val="PR1"/>
        <w:tabs>
          <w:tab w:val="clear" w:pos="864"/>
        </w:tabs>
        <w:spacing w:before="0"/>
        <w:ind w:left="720" w:hanging="540"/>
        <w:outlineLvl w:val="9"/>
        <w:rPr>
          <w:sz w:val="20"/>
        </w:rPr>
      </w:pPr>
      <w:r>
        <w:rPr>
          <w:sz w:val="20"/>
        </w:rPr>
        <w:t>Comply with ANSI C2.</w:t>
      </w:r>
    </w:p>
    <w:p w14:paraId="7116FDD1" w14:textId="77777777" w:rsidR="00C530C4" w:rsidRDefault="00C530C4">
      <w:pPr>
        <w:pStyle w:val="PR1"/>
        <w:tabs>
          <w:tab w:val="clear" w:pos="864"/>
        </w:tabs>
        <w:spacing w:before="0"/>
        <w:ind w:left="720" w:hanging="540"/>
        <w:outlineLvl w:val="9"/>
        <w:rPr>
          <w:sz w:val="20"/>
        </w:rPr>
      </w:pPr>
      <w:r>
        <w:rPr>
          <w:sz w:val="20"/>
        </w:rPr>
        <w:t>Comply with NFPA 70.</w:t>
      </w:r>
    </w:p>
    <w:p w14:paraId="1A1434B0" w14:textId="77777777" w:rsidR="00F41B1D" w:rsidRPr="00F41B1D" w:rsidRDefault="00F41B1D" w:rsidP="00F41B1D">
      <w:pPr>
        <w:pStyle w:val="ART"/>
        <w:tabs>
          <w:tab w:val="clear" w:pos="864"/>
          <w:tab w:val="num" w:pos="720"/>
        </w:tabs>
        <w:ind w:left="720" w:hanging="720"/>
        <w:rPr>
          <w:sz w:val="20"/>
        </w:rPr>
      </w:pPr>
      <w:r w:rsidRPr="00F41B1D">
        <w:rPr>
          <w:sz w:val="20"/>
        </w:rPr>
        <w:t>WARRANTY</w:t>
      </w:r>
    </w:p>
    <w:p w14:paraId="1435FDDC" w14:textId="77777777" w:rsidR="00F41B1D" w:rsidRPr="00F41B1D" w:rsidRDefault="00F41B1D" w:rsidP="00F41B1D">
      <w:pPr>
        <w:pStyle w:val="PR1"/>
        <w:tabs>
          <w:tab w:val="clear" w:pos="864"/>
          <w:tab w:val="num" w:pos="720"/>
        </w:tabs>
        <w:spacing w:before="0"/>
        <w:ind w:left="720" w:hanging="540"/>
        <w:rPr>
          <w:sz w:val="20"/>
        </w:rPr>
      </w:pPr>
      <w:r w:rsidRPr="00F41B1D">
        <w:rPr>
          <w:sz w:val="20"/>
        </w:rPr>
        <w:t>The Owner furnished lighting package provided by the Lowe’s national account lighting supplier includes a material warranty to Lowe’s.  The Electrical Subcontractor shall provide a one year labor warranty for replacing all burned out lamps, failed ballasts, and other warrantable parts, in the 1 year following the key turnover, and shall contact Lowe’s light fixture supplier for all necessary parts.</w:t>
      </w:r>
    </w:p>
    <w:p w14:paraId="7658A40E" w14:textId="77777777" w:rsidR="00C530C4" w:rsidRDefault="00C530C4">
      <w:pPr>
        <w:pStyle w:val="PRT"/>
        <w:rPr>
          <w:sz w:val="20"/>
        </w:rPr>
      </w:pPr>
      <w:r>
        <w:rPr>
          <w:sz w:val="20"/>
        </w:rPr>
        <w:t>PRODUCTS</w:t>
      </w:r>
    </w:p>
    <w:p w14:paraId="419AA3B3" w14:textId="77777777" w:rsidR="00C530C4" w:rsidRDefault="00C530C4">
      <w:pPr>
        <w:pStyle w:val="ART"/>
        <w:tabs>
          <w:tab w:val="clear" w:pos="864"/>
          <w:tab w:val="left" w:pos="720"/>
        </w:tabs>
        <w:ind w:left="720" w:hanging="720"/>
        <w:rPr>
          <w:sz w:val="20"/>
        </w:rPr>
      </w:pPr>
      <w:r>
        <w:rPr>
          <w:sz w:val="20"/>
        </w:rPr>
        <w:t>MANUFACTURERS</w:t>
      </w:r>
    </w:p>
    <w:p w14:paraId="6486D22E" w14:textId="77777777" w:rsidR="00C530C4" w:rsidRDefault="00C530C4">
      <w:pPr>
        <w:pStyle w:val="CMT"/>
        <w:ind w:left="720" w:hanging="540"/>
        <w:rPr>
          <w:sz w:val="20"/>
        </w:rPr>
      </w:pPr>
      <w:r>
        <w:rPr>
          <w:sz w:val="20"/>
        </w:rPr>
        <w:t>See Editing Instruction No. 1 in the Evaluations for cautions about naming manufacturers and products.</w:t>
      </w:r>
    </w:p>
    <w:p w14:paraId="233A2BD8" w14:textId="77777777" w:rsidR="00C530C4" w:rsidRDefault="00C530C4">
      <w:pPr>
        <w:pStyle w:val="PR1"/>
        <w:tabs>
          <w:tab w:val="clear" w:pos="864"/>
        </w:tabs>
        <w:spacing w:before="0"/>
        <w:ind w:left="720" w:hanging="540"/>
        <w:outlineLvl w:val="9"/>
        <w:rPr>
          <w:sz w:val="20"/>
        </w:rPr>
      </w:pPr>
      <w:r>
        <w:rPr>
          <w:sz w:val="20"/>
        </w:rPr>
        <w:t>In other Part 2 articles where subparagraph titles below introduce lists, the following requirements apply for product selection:</w:t>
      </w:r>
    </w:p>
    <w:p w14:paraId="09B0BDFC" w14:textId="77777777" w:rsidR="00C530C4" w:rsidRDefault="00C530C4">
      <w:pPr>
        <w:pStyle w:val="CMT"/>
        <w:ind w:left="1080" w:hanging="360"/>
        <w:rPr>
          <w:sz w:val="20"/>
        </w:rPr>
      </w:pPr>
      <w:r>
        <w:rPr>
          <w:sz w:val="20"/>
        </w:rPr>
        <w:lastRenderedPageBreak/>
        <w:t>Coordinate subparagraphs retained below with subparagraph titles retained in other Part 2 articles.  Refer to Division 1 Section "Product Requirements."</w:t>
      </w:r>
    </w:p>
    <w:p w14:paraId="5C752F15" w14:textId="77777777" w:rsidR="00C530C4" w:rsidRDefault="00C530C4">
      <w:pPr>
        <w:pStyle w:val="PR2"/>
        <w:tabs>
          <w:tab w:val="clear" w:pos="1440"/>
        </w:tabs>
        <w:ind w:left="1080" w:hanging="360"/>
        <w:rPr>
          <w:sz w:val="20"/>
        </w:rPr>
      </w:pPr>
      <w:r>
        <w:rPr>
          <w:sz w:val="20"/>
        </w:rPr>
        <w:t>Products:  Subject to compliance with requirements, provide one of the products specified.</w:t>
      </w:r>
    </w:p>
    <w:p w14:paraId="169C1DDC" w14:textId="77777777" w:rsidR="00C530C4" w:rsidRDefault="00C530C4">
      <w:pPr>
        <w:pStyle w:val="ART"/>
        <w:tabs>
          <w:tab w:val="clear" w:pos="864"/>
          <w:tab w:val="left" w:pos="720"/>
        </w:tabs>
        <w:ind w:left="720" w:hanging="720"/>
        <w:rPr>
          <w:sz w:val="20"/>
        </w:rPr>
      </w:pPr>
      <w:r>
        <w:rPr>
          <w:sz w:val="20"/>
        </w:rPr>
        <w:t>LUMINAIRES</w:t>
      </w:r>
    </w:p>
    <w:p w14:paraId="7E32439B" w14:textId="77777777" w:rsidR="00C530C4" w:rsidRDefault="00C530C4">
      <w:pPr>
        <w:pStyle w:val="CMT"/>
        <w:tabs>
          <w:tab w:val="left" w:pos="720"/>
        </w:tabs>
        <w:ind w:left="720" w:hanging="540"/>
        <w:rPr>
          <w:sz w:val="20"/>
        </w:rPr>
      </w:pPr>
      <w:r>
        <w:rPr>
          <w:sz w:val="20"/>
        </w:rPr>
        <w:t>Retain first paragraph below if some lighting units or luminaires are indicated to have Type I, II, III, IV, or V distribution pattern in schedules or details.</w:t>
      </w:r>
    </w:p>
    <w:p w14:paraId="69588479" w14:textId="77777777" w:rsidR="00C530C4" w:rsidRDefault="00C530C4">
      <w:pPr>
        <w:pStyle w:val="PR1"/>
        <w:tabs>
          <w:tab w:val="clear" w:pos="864"/>
          <w:tab w:val="left" w:pos="720"/>
        </w:tabs>
        <w:spacing w:before="0"/>
        <w:ind w:left="720" w:hanging="540"/>
        <w:outlineLvl w:val="9"/>
        <w:rPr>
          <w:sz w:val="20"/>
        </w:rPr>
      </w:pPr>
      <w:r>
        <w:rPr>
          <w:sz w:val="20"/>
        </w:rPr>
        <w:t>Comply with IESNA RP-8 for parameters of lateral light distribution patterns indicated for luminaries.</w:t>
      </w:r>
    </w:p>
    <w:p w14:paraId="03DEF6D8" w14:textId="77777777" w:rsidR="00C530C4" w:rsidRDefault="00C530C4">
      <w:pPr>
        <w:pStyle w:val="PR1"/>
        <w:tabs>
          <w:tab w:val="clear" w:pos="864"/>
          <w:tab w:val="left" w:pos="720"/>
        </w:tabs>
        <w:spacing w:before="0"/>
        <w:ind w:left="720" w:hanging="540"/>
        <w:outlineLvl w:val="9"/>
        <w:rPr>
          <w:sz w:val="20"/>
        </w:rPr>
      </w:pPr>
      <w:r>
        <w:rPr>
          <w:sz w:val="20"/>
        </w:rPr>
        <w:t>Sheet Metal Components: Corrosion-resistant aluminum, unless otherwise indicated.</w:t>
      </w:r>
    </w:p>
    <w:p w14:paraId="1BB06AA1" w14:textId="77777777" w:rsidR="0022799F" w:rsidRDefault="00C530C4">
      <w:pPr>
        <w:pStyle w:val="PR1"/>
        <w:tabs>
          <w:tab w:val="clear" w:pos="864"/>
          <w:tab w:val="left" w:pos="720"/>
        </w:tabs>
        <w:spacing w:before="0"/>
        <w:ind w:left="720" w:hanging="540"/>
        <w:outlineLvl w:val="9"/>
        <w:rPr>
          <w:sz w:val="20"/>
        </w:rPr>
      </w:pPr>
      <w:r>
        <w:rPr>
          <w:sz w:val="20"/>
        </w:rPr>
        <w:t xml:space="preserve">Doors, Frames, and Other Internal Access:  Arrange doors, frames, lenses, diffusers, and other pieces to prevent accidental falling during </w:t>
      </w:r>
      <w:proofErr w:type="spellStart"/>
      <w:r>
        <w:rPr>
          <w:sz w:val="20"/>
        </w:rPr>
        <w:t>relamping</w:t>
      </w:r>
      <w:proofErr w:type="spellEnd"/>
      <w:r>
        <w:rPr>
          <w:sz w:val="20"/>
        </w:rPr>
        <w:t xml:space="preserve"> and when secured in operating position.  </w:t>
      </w:r>
    </w:p>
    <w:p w14:paraId="59F751C4" w14:textId="77777777" w:rsidR="00C530C4" w:rsidRDefault="00C530C4">
      <w:pPr>
        <w:pStyle w:val="PR1"/>
        <w:tabs>
          <w:tab w:val="clear" w:pos="864"/>
          <w:tab w:val="left" w:pos="720"/>
        </w:tabs>
        <w:spacing w:before="0"/>
        <w:ind w:left="720" w:hanging="540"/>
        <w:outlineLvl w:val="9"/>
        <w:rPr>
          <w:sz w:val="20"/>
        </w:rPr>
      </w:pPr>
      <w:r>
        <w:rPr>
          <w:sz w:val="20"/>
        </w:rPr>
        <w:t>Exposed Hardware Material:  Stainless steel.</w:t>
      </w:r>
    </w:p>
    <w:p w14:paraId="0008BDA6" w14:textId="77777777" w:rsidR="00C530C4" w:rsidRDefault="00C530C4">
      <w:pPr>
        <w:pStyle w:val="PR1"/>
        <w:tabs>
          <w:tab w:val="clear" w:pos="864"/>
          <w:tab w:val="left" w:pos="720"/>
        </w:tabs>
        <w:spacing w:before="0"/>
        <w:ind w:left="720" w:hanging="540"/>
        <w:outlineLvl w:val="9"/>
        <w:rPr>
          <w:sz w:val="20"/>
        </w:rPr>
      </w:pPr>
      <w:r>
        <w:rPr>
          <w:sz w:val="20"/>
        </w:rPr>
        <w:t>High-Intensity-Discharge Ballasts:  Comply with ANSI C82.4.  Constant wattage autotransformer or regulating high-power-factor type, unless otherwise indicated.</w:t>
      </w:r>
    </w:p>
    <w:p w14:paraId="6A603CEE" w14:textId="77777777" w:rsidR="00C530C4" w:rsidRDefault="00C530C4">
      <w:pPr>
        <w:pStyle w:val="CMT"/>
        <w:ind w:left="1080" w:hanging="360"/>
        <w:rPr>
          <w:sz w:val="20"/>
        </w:rPr>
      </w:pPr>
      <w:r>
        <w:rPr>
          <w:sz w:val="20"/>
        </w:rPr>
        <w:t>Delete first subparagraph below if ballasts are not fused.</w:t>
      </w:r>
    </w:p>
    <w:p w14:paraId="090E5613" w14:textId="77777777" w:rsidR="00C530C4" w:rsidRDefault="00C530C4">
      <w:pPr>
        <w:pStyle w:val="PR2"/>
        <w:tabs>
          <w:tab w:val="clear" w:pos="1440"/>
        </w:tabs>
        <w:ind w:left="1080" w:hanging="360"/>
        <w:rPr>
          <w:sz w:val="20"/>
        </w:rPr>
      </w:pPr>
      <w:r>
        <w:rPr>
          <w:sz w:val="20"/>
        </w:rPr>
        <w:t>Single-Lamp Ballasts:  Minimum starting temperature of minus 40 deg C.</w:t>
      </w:r>
    </w:p>
    <w:p w14:paraId="0608CF54" w14:textId="77777777" w:rsidR="00C530C4" w:rsidRDefault="00C530C4">
      <w:pPr>
        <w:pStyle w:val="PR2"/>
        <w:tabs>
          <w:tab w:val="clear" w:pos="1440"/>
        </w:tabs>
        <w:ind w:left="1080" w:hanging="360"/>
        <w:rPr>
          <w:sz w:val="20"/>
        </w:rPr>
      </w:pPr>
      <w:r>
        <w:rPr>
          <w:sz w:val="20"/>
        </w:rPr>
        <w:t>Open-circuit operation will not reduce average life.</w:t>
      </w:r>
    </w:p>
    <w:p w14:paraId="1B067461" w14:textId="77777777" w:rsidR="00C530C4" w:rsidRDefault="00C530C4">
      <w:pPr>
        <w:pStyle w:val="PR2"/>
        <w:tabs>
          <w:tab w:val="clear" w:pos="1440"/>
        </w:tabs>
        <w:ind w:left="1080" w:hanging="360"/>
        <w:rPr>
          <w:sz w:val="20"/>
        </w:rPr>
      </w:pPr>
      <w:r>
        <w:rPr>
          <w:sz w:val="20"/>
        </w:rPr>
        <w:t>High-Pressure Sodium Ballasts</w:t>
      </w:r>
      <w:r w:rsidR="000368CD">
        <w:rPr>
          <w:sz w:val="20"/>
        </w:rPr>
        <w:t xml:space="preserve"> (where required)</w:t>
      </w:r>
      <w:r>
        <w:rPr>
          <w:sz w:val="20"/>
        </w:rPr>
        <w:t>:  Equip with a solid-state igniter/starter having an average life in pulsing mode of 10,000 hours at an igniter/starter case temperature of 90 deg C.</w:t>
      </w:r>
    </w:p>
    <w:p w14:paraId="61AB5CD1" w14:textId="77777777" w:rsidR="00C530C4" w:rsidRDefault="00C530C4">
      <w:pPr>
        <w:pStyle w:val="PR2"/>
        <w:tabs>
          <w:tab w:val="clear" w:pos="1440"/>
        </w:tabs>
        <w:ind w:left="1080" w:hanging="360"/>
        <w:rPr>
          <w:sz w:val="20"/>
        </w:rPr>
      </w:pPr>
      <w:r>
        <w:rPr>
          <w:sz w:val="20"/>
        </w:rPr>
        <w:t>Noise:  Uniformly quiet operation, with a noise rating of B or better.</w:t>
      </w:r>
    </w:p>
    <w:p w14:paraId="0614A4E2" w14:textId="77777777" w:rsidR="00C530C4" w:rsidRDefault="00C530C4" w:rsidP="0022799F">
      <w:pPr>
        <w:pStyle w:val="CMT"/>
        <w:tabs>
          <w:tab w:val="left" w:pos="720"/>
        </w:tabs>
        <w:ind w:left="720" w:hanging="540"/>
        <w:rPr>
          <w:sz w:val="20"/>
        </w:rPr>
      </w:pPr>
      <w:r>
        <w:rPr>
          <w:sz w:val="20"/>
        </w:rPr>
        <w:t>Delete first paragraph below if hot restrike or instant restrike high-pressure sodium lamps or auxiliary, instant-on, quartz system is used or if there is no requirement to restore light from high-intensity-discharge luminaires immediately after momentary power interruption.  See Evaluations.  Coordinate with Drawings.</w:t>
      </w:r>
    </w:p>
    <w:p w14:paraId="6106153E" w14:textId="77777777" w:rsidR="00C530C4" w:rsidRDefault="00C530C4" w:rsidP="0022799F">
      <w:pPr>
        <w:pStyle w:val="PR1"/>
        <w:tabs>
          <w:tab w:val="clear" w:pos="864"/>
          <w:tab w:val="left" w:pos="720"/>
        </w:tabs>
        <w:spacing w:before="0"/>
        <w:ind w:left="720" w:hanging="540"/>
        <w:outlineLvl w:val="9"/>
        <w:rPr>
          <w:sz w:val="20"/>
        </w:rPr>
      </w:pPr>
      <w:r>
        <w:rPr>
          <w:sz w:val="20"/>
        </w:rPr>
        <w:t>Auxiliary, Instant-on, Quartz System:  Automatically switches quartz lamp on when luminaire is initially energized and when momentary power outages occur.  Automatically turns quartz lamp off when high-intensity-discharge lamp reaches approximately 60 percent light output.</w:t>
      </w:r>
    </w:p>
    <w:p w14:paraId="4169CCA1" w14:textId="77777777" w:rsidR="00C530C4" w:rsidRDefault="00C530C4">
      <w:pPr>
        <w:pStyle w:val="PR2"/>
        <w:tabs>
          <w:tab w:val="clear" w:pos="1440"/>
        </w:tabs>
        <w:ind w:left="1080" w:hanging="360"/>
        <w:rPr>
          <w:sz w:val="20"/>
        </w:rPr>
      </w:pPr>
      <w:r>
        <w:rPr>
          <w:sz w:val="20"/>
        </w:rPr>
        <w:t>Mount control components internal to ballast.</w:t>
      </w:r>
    </w:p>
    <w:p w14:paraId="12DC25EA" w14:textId="77777777" w:rsidR="00C530C4" w:rsidRDefault="00C530C4">
      <w:pPr>
        <w:pStyle w:val="PR2"/>
        <w:tabs>
          <w:tab w:val="clear" w:pos="1440"/>
        </w:tabs>
        <w:ind w:left="1080" w:hanging="360"/>
        <w:rPr>
          <w:sz w:val="20"/>
        </w:rPr>
      </w:pPr>
      <w:r>
        <w:rPr>
          <w:sz w:val="20"/>
        </w:rPr>
        <w:t>Connect to ballast with tap so quartz lamp operates at 120 V.</w:t>
      </w:r>
    </w:p>
    <w:p w14:paraId="22A74B4A" w14:textId="77777777" w:rsidR="00C530C4" w:rsidRDefault="00C530C4">
      <w:pPr>
        <w:pStyle w:val="CMT"/>
        <w:ind w:left="720" w:hanging="540"/>
        <w:rPr>
          <w:sz w:val="20"/>
        </w:rPr>
      </w:pPr>
      <w:r>
        <w:rPr>
          <w:sz w:val="20"/>
        </w:rPr>
        <w:t>Coordinate below with Drawings.  Indicate lamp designation for each luminaire, preferably in schedule or details.</w:t>
      </w:r>
    </w:p>
    <w:p w14:paraId="07002217" w14:textId="77777777" w:rsidR="00C530C4" w:rsidRDefault="00C530C4">
      <w:pPr>
        <w:pStyle w:val="PR1"/>
        <w:tabs>
          <w:tab w:val="clear" w:pos="864"/>
        </w:tabs>
        <w:spacing w:before="0"/>
        <w:ind w:left="720" w:hanging="540"/>
        <w:outlineLvl w:val="9"/>
        <w:rPr>
          <w:sz w:val="20"/>
        </w:rPr>
      </w:pPr>
      <w:r>
        <w:rPr>
          <w:sz w:val="20"/>
        </w:rPr>
        <w:t>Lamps:  Comply with the standard of the ANSI C78 series that is applicable to each type of lamp.  Provide luminaries with indicated lamps of designated type, characteristics, and wattage.  Where a lamp is not indicated for a luminaire, notify the representative for Lowe’s to obtain the proper lamp information.</w:t>
      </w:r>
    </w:p>
    <w:p w14:paraId="2B28756B" w14:textId="77777777" w:rsidR="00C530C4" w:rsidRDefault="00C530C4">
      <w:pPr>
        <w:pStyle w:val="ART"/>
        <w:tabs>
          <w:tab w:val="clear" w:pos="864"/>
          <w:tab w:val="left" w:pos="720"/>
        </w:tabs>
        <w:ind w:left="720" w:hanging="720"/>
        <w:rPr>
          <w:sz w:val="20"/>
        </w:rPr>
      </w:pPr>
      <w:r>
        <w:rPr>
          <w:sz w:val="20"/>
        </w:rPr>
        <w:t>EXTERIOR LIGHTING UNITS (SEE SCHEDULE ON DRAWINGS)</w:t>
      </w:r>
    </w:p>
    <w:p w14:paraId="4A2D5207" w14:textId="77777777" w:rsidR="00C530C4" w:rsidRDefault="00C530C4">
      <w:pPr>
        <w:pStyle w:val="CMT"/>
        <w:rPr>
          <w:sz w:val="20"/>
        </w:rPr>
      </w:pPr>
      <w:r>
        <w:rPr>
          <w:sz w:val="20"/>
        </w:rPr>
        <w:t>Copy and edit paragraph and associated subparagraphs below for each type lighting unit, or delete this Article and schedule lighting units on Drawings.</w:t>
      </w:r>
    </w:p>
    <w:p w14:paraId="47B0AD4F" w14:textId="77777777" w:rsidR="00C530C4" w:rsidRDefault="00C530C4">
      <w:pPr>
        <w:pStyle w:val="PRT"/>
        <w:rPr>
          <w:sz w:val="20"/>
        </w:rPr>
      </w:pPr>
      <w:r>
        <w:rPr>
          <w:sz w:val="20"/>
        </w:rPr>
        <w:t>EXECUTION</w:t>
      </w:r>
    </w:p>
    <w:p w14:paraId="5FF59693" w14:textId="77777777" w:rsidR="00C530C4" w:rsidRDefault="00C530C4">
      <w:pPr>
        <w:pStyle w:val="ART"/>
        <w:tabs>
          <w:tab w:val="clear" w:pos="864"/>
          <w:tab w:val="left" w:pos="720"/>
        </w:tabs>
        <w:ind w:left="720" w:hanging="720"/>
        <w:rPr>
          <w:sz w:val="20"/>
        </w:rPr>
      </w:pPr>
      <w:r>
        <w:rPr>
          <w:sz w:val="20"/>
        </w:rPr>
        <w:t>INSTALLATION</w:t>
      </w:r>
    </w:p>
    <w:p w14:paraId="6B9E6E4D" w14:textId="77777777" w:rsidR="00C530C4" w:rsidRDefault="00C530C4">
      <w:pPr>
        <w:pStyle w:val="PR1"/>
        <w:tabs>
          <w:tab w:val="clear" w:pos="864"/>
        </w:tabs>
        <w:spacing w:before="0"/>
        <w:ind w:left="720" w:hanging="540"/>
        <w:outlineLvl w:val="9"/>
        <w:rPr>
          <w:sz w:val="20"/>
        </w:rPr>
      </w:pPr>
      <w:r>
        <w:rPr>
          <w:sz w:val="20"/>
        </w:rPr>
        <w:t>Luminaire Attachment:  Fasten to structural supports.</w:t>
      </w:r>
    </w:p>
    <w:p w14:paraId="37FA6534" w14:textId="77777777" w:rsidR="00C530C4" w:rsidRDefault="00C530C4">
      <w:pPr>
        <w:pStyle w:val="CMT"/>
        <w:ind w:left="720" w:hanging="540"/>
        <w:rPr>
          <w:sz w:val="20"/>
        </w:rPr>
      </w:pPr>
      <w:r>
        <w:rPr>
          <w:sz w:val="20"/>
        </w:rPr>
        <w:t>Delete first paragraph below if installation is not adjustable.</w:t>
      </w:r>
    </w:p>
    <w:p w14:paraId="1C093EA7" w14:textId="77777777" w:rsidR="00C530C4" w:rsidRDefault="00C530C4">
      <w:pPr>
        <w:pStyle w:val="PR1"/>
        <w:tabs>
          <w:tab w:val="clear" w:pos="864"/>
        </w:tabs>
        <w:spacing w:before="0"/>
        <w:ind w:left="720" w:hanging="540"/>
        <w:outlineLvl w:val="9"/>
        <w:rPr>
          <w:sz w:val="20"/>
        </w:rPr>
      </w:pPr>
      <w:r>
        <w:rPr>
          <w:sz w:val="20"/>
        </w:rPr>
        <w:t>Luminaire Attachment with Adjustable Features or Aiming:  Attach luminaries and supports to allow aiming for indicated light distribution.</w:t>
      </w:r>
    </w:p>
    <w:p w14:paraId="29B56071" w14:textId="77777777" w:rsidR="00C530C4" w:rsidRDefault="00C530C4">
      <w:pPr>
        <w:pStyle w:val="PR1"/>
        <w:tabs>
          <w:tab w:val="clear" w:pos="864"/>
        </w:tabs>
        <w:spacing w:before="0"/>
        <w:ind w:left="720" w:hanging="540"/>
        <w:outlineLvl w:val="9"/>
        <w:rPr>
          <w:sz w:val="20"/>
        </w:rPr>
      </w:pPr>
      <w:r>
        <w:rPr>
          <w:sz w:val="20"/>
        </w:rPr>
        <w:t>Install lamps in luminaries according to manufacturer's written instructions.</w:t>
      </w:r>
    </w:p>
    <w:p w14:paraId="2E418560" w14:textId="77777777" w:rsidR="00C530C4" w:rsidRDefault="00C530C4">
      <w:pPr>
        <w:pStyle w:val="ART"/>
        <w:tabs>
          <w:tab w:val="clear" w:pos="864"/>
          <w:tab w:val="left" w:pos="720"/>
        </w:tabs>
        <w:ind w:left="720" w:hanging="720"/>
        <w:rPr>
          <w:sz w:val="20"/>
        </w:rPr>
      </w:pPr>
      <w:r>
        <w:rPr>
          <w:sz w:val="20"/>
        </w:rPr>
        <w:t>GROUNDING</w:t>
      </w:r>
    </w:p>
    <w:p w14:paraId="22A681CD" w14:textId="77777777" w:rsidR="00C530C4" w:rsidRDefault="00C530C4">
      <w:pPr>
        <w:pStyle w:val="CMT"/>
        <w:ind w:left="720" w:hanging="540"/>
        <w:rPr>
          <w:sz w:val="20"/>
        </w:rPr>
      </w:pPr>
      <w:r>
        <w:rPr>
          <w:sz w:val="20"/>
        </w:rPr>
        <w:t>Coordinate below with Drawings.</w:t>
      </w:r>
    </w:p>
    <w:p w14:paraId="68CE6BB7" w14:textId="77777777" w:rsidR="00C530C4" w:rsidRDefault="00C530C4">
      <w:pPr>
        <w:pStyle w:val="PR1"/>
        <w:tabs>
          <w:tab w:val="clear" w:pos="864"/>
        </w:tabs>
        <w:spacing w:before="0"/>
        <w:ind w:left="720" w:hanging="540"/>
        <w:outlineLvl w:val="9"/>
        <w:rPr>
          <w:sz w:val="20"/>
        </w:rPr>
      </w:pPr>
      <w:r>
        <w:rPr>
          <w:sz w:val="20"/>
        </w:rPr>
        <w:t>Ground metal poles/support structures according to Division 16 Section "Grounding and Bonding."</w:t>
      </w:r>
    </w:p>
    <w:p w14:paraId="520727F1" w14:textId="77777777" w:rsidR="00C530C4" w:rsidRDefault="00C530C4">
      <w:pPr>
        <w:pStyle w:val="PR2"/>
        <w:tabs>
          <w:tab w:val="clear" w:pos="1440"/>
        </w:tabs>
        <w:ind w:left="1080" w:hanging="360"/>
        <w:rPr>
          <w:sz w:val="20"/>
        </w:rPr>
      </w:pPr>
      <w:r>
        <w:rPr>
          <w:sz w:val="20"/>
        </w:rPr>
        <w:lastRenderedPageBreak/>
        <w:t>Nonmetallic Poles:  Ground metallic components of lighting units and foundations.  Connect luminaries to grounding system with No. 6 AWG conductor.</w:t>
      </w:r>
    </w:p>
    <w:p w14:paraId="779427EE" w14:textId="77777777" w:rsidR="00C530C4" w:rsidRDefault="00C530C4">
      <w:pPr>
        <w:pStyle w:val="ART"/>
        <w:tabs>
          <w:tab w:val="clear" w:pos="864"/>
          <w:tab w:val="left" w:pos="720"/>
        </w:tabs>
        <w:ind w:left="720" w:hanging="720"/>
        <w:rPr>
          <w:sz w:val="20"/>
        </w:rPr>
      </w:pPr>
      <w:r>
        <w:rPr>
          <w:sz w:val="20"/>
        </w:rPr>
        <w:t>FIELD QUALITY CONTROL</w:t>
      </w:r>
    </w:p>
    <w:p w14:paraId="09CCDE6F" w14:textId="77777777" w:rsidR="00C530C4" w:rsidRDefault="00C530C4">
      <w:pPr>
        <w:pStyle w:val="PR1"/>
        <w:tabs>
          <w:tab w:val="clear" w:pos="864"/>
        </w:tabs>
        <w:spacing w:before="0"/>
        <w:ind w:left="720" w:hanging="540"/>
        <w:outlineLvl w:val="9"/>
        <w:rPr>
          <w:sz w:val="20"/>
        </w:rPr>
      </w:pPr>
      <w:r>
        <w:rPr>
          <w:sz w:val="20"/>
        </w:rPr>
        <w:t>Inspect each installed unit for damage.  Replace damaged units.</w:t>
      </w:r>
    </w:p>
    <w:p w14:paraId="137DFD4D" w14:textId="77777777" w:rsidR="00C530C4" w:rsidRDefault="00C530C4">
      <w:pPr>
        <w:pStyle w:val="PR1"/>
        <w:tabs>
          <w:tab w:val="clear" w:pos="864"/>
        </w:tabs>
        <w:spacing w:before="0"/>
        <w:ind w:left="720" w:hanging="540"/>
        <w:outlineLvl w:val="9"/>
        <w:rPr>
          <w:sz w:val="20"/>
        </w:rPr>
      </w:pPr>
      <w:r>
        <w:rPr>
          <w:sz w:val="20"/>
        </w:rPr>
        <w:t>Tests and Observations:  Verify normal operation of lighting units after installing luminaries and energizing circuits with normal power source.  Check visually uniformity of illumination.  Check for excessively noisy ballasts.</w:t>
      </w:r>
    </w:p>
    <w:p w14:paraId="636B368E" w14:textId="77777777" w:rsidR="00C530C4" w:rsidRDefault="00C530C4">
      <w:pPr>
        <w:pStyle w:val="PR1"/>
        <w:tabs>
          <w:tab w:val="clear" w:pos="864"/>
        </w:tabs>
        <w:spacing w:before="0"/>
        <w:ind w:left="720" w:hanging="540"/>
        <w:outlineLvl w:val="9"/>
        <w:rPr>
          <w:sz w:val="20"/>
        </w:rPr>
      </w:pPr>
      <w:r>
        <w:rPr>
          <w:sz w:val="20"/>
        </w:rPr>
        <w:t>Defective or Malfunctioning Fixtures and Components:  Replace or repair, then retest.  Repeat procedure until units operate properly.</w:t>
      </w:r>
    </w:p>
    <w:p w14:paraId="2318DFA5" w14:textId="77777777" w:rsidR="00C530C4" w:rsidRDefault="00C530C4">
      <w:pPr>
        <w:pStyle w:val="ART"/>
        <w:tabs>
          <w:tab w:val="clear" w:pos="864"/>
          <w:tab w:val="left" w:pos="720"/>
        </w:tabs>
        <w:ind w:left="720" w:hanging="720"/>
        <w:rPr>
          <w:sz w:val="20"/>
        </w:rPr>
      </w:pPr>
      <w:r>
        <w:rPr>
          <w:sz w:val="20"/>
        </w:rPr>
        <w:t>ADJUSTING</w:t>
      </w:r>
    </w:p>
    <w:p w14:paraId="0C4892AA" w14:textId="77777777" w:rsidR="00C530C4" w:rsidRDefault="00C530C4">
      <w:pPr>
        <w:pStyle w:val="CMT"/>
        <w:ind w:left="720" w:hanging="540"/>
        <w:rPr>
          <w:sz w:val="20"/>
        </w:rPr>
      </w:pPr>
      <w:r>
        <w:rPr>
          <w:sz w:val="20"/>
        </w:rPr>
        <w:t>Coordinate below with Drawings and with exterior lighting unit schedule.</w:t>
      </w:r>
    </w:p>
    <w:p w14:paraId="572F2F71" w14:textId="77777777" w:rsidR="00C530C4" w:rsidRDefault="00C530C4">
      <w:pPr>
        <w:pStyle w:val="PR1"/>
        <w:tabs>
          <w:tab w:val="clear" w:pos="864"/>
        </w:tabs>
        <w:spacing w:before="0"/>
        <w:ind w:left="720" w:hanging="540"/>
        <w:outlineLvl w:val="9"/>
        <w:rPr>
          <w:sz w:val="20"/>
        </w:rPr>
      </w:pPr>
      <w:r>
        <w:rPr>
          <w:sz w:val="20"/>
        </w:rPr>
        <w:t>Adjust amiable luminaries and luminaries with adjustable lamp position to provide required light distributions and intensities.</w:t>
      </w:r>
    </w:p>
    <w:p w14:paraId="483BD7EB" w14:textId="77777777" w:rsidR="00C530C4" w:rsidRDefault="00C530C4">
      <w:pPr>
        <w:pStyle w:val="EOS"/>
        <w:jc w:val="center"/>
        <w:rPr>
          <w:sz w:val="20"/>
        </w:rPr>
      </w:pPr>
      <w:r>
        <w:rPr>
          <w:sz w:val="20"/>
        </w:rPr>
        <w:t>END OF SECTION 16521</w:t>
      </w:r>
    </w:p>
    <w:p w14:paraId="3AD7325B" w14:textId="77777777" w:rsidR="00C530C4" w:rsidRDefault="00C530C4">
      <w:pPr>
        <w:pStyle w:val="Title"/>
      </w:pPr>
    </w:p>
    <w:sectPr w:rsidR="00C530C4" w:rsidSect="00C52D47">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1663" w14:textId="77777777" w:rsidR="001D68E9" w:rsidRDefault="001D68E9">
      <w:r>
        <w:separator/>
      </w:r>
    </w:p>
  </w:endnote>
  <w:endnote w:type="continuationSeparator" w:id="0">
    <w:p w14:paraId="7B9900B6" w14:textId="77777777" w:rsidR="001D68E9" w:rsidRDefault="001D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4F3E" w14:textId="77777777" w:rsidR="00CA3E17" w:rsidRDefault="00CA3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43E" w14:textId="77777777" w:rsidR="00C530C4" w:rsidRDefault="00C530C4">
    <w:pPr>
      <w:pStyle w:val="FTR"/>
      <w:tabs>
        <w:tab w:val="center" w:pos="4680"/>
      </w:tabs>
      <w:rPr>
        <w:b/>
        <w:sz w:val="20"/>
      </w:rPr>
    </w:pPr>
    <w:r>
      <w:rPr>
        <w:b/>
        <w:sz w:val="20"/>
      </w:rPr>
      <w:t>EXTERIOR LIGHTING</w:t>
    </w:r>
    <w:r>
      <w:rPr>
        <w:b/>
        <w:sz w:val="20"/>
      </w:rPr>
      <w:tab/>
    </w:r>
    <w:r>
      <w:rPr>
        <w:b/>
        <w:sz w:val="20"/>
      </w:rPr>
      <w:tab/>
      <w:t>16521-</w:t>
    </w:r>
    <w:r w:rsidR="00DA4A27">
      <w:rPr>
        <w:b/>
        <w:sz w:val="20"/>
      </w:rPr>
      <w:fldChar w:fldCharType="begin"/>
    </w:r>
    <w:r>
      <w:rPr>
        <w:b/>
        <w:sz w:val="20"/>
      </w:rPr>
      <w:instrText xml:space="preserve"> PAGE  \* MERGEFORMAT </w:instrText>
    </w:r>
    <w:r w:rsidR="00DA4A27">
      <w:rPr>
        <w:b/>
        <w:sz w:val="20"/>
      </w:rPr>
      <w:fldChar w:fldCharType="separate"/>
    </w:r>
    <w:r w:rsidR="007038CA">
      <w:rPr>
        <w:b/>
        <w:noProof/>
        <w:sz w:val="20"/>
      </w:rPr>
      <w:t>1</w:t>
    </w:r>
    <w:r w:rsidR="00DA4A27">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74FC" w14:textId="77777777" w:rsidR="00CA3E17" w:rsidRDefault="00CA3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0C4F" w14:textId="77777777" w:rsidR="001D68E9" w:rsidRDefault="001D68E9">
      <w:r>
        <w:separator/>
      </w:r>
    </w:p>
  </w:footnote>
  <w:footnote w:type="continuationSeparator" w:id="0">
    <w:p w14:paraId="0E10FCEA" w14:textId="77777777" w:rsidR="001D68E9" w:rsidRDefault="001D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2E28" w14:textId="77777777" w:rsidR="00CA3E17" w:rsidRDefault="00CA3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DE7C" w14:textId="19E828D5" w:rsidR="00C530C4" w:rsidRDefault="00C530C4">
    <w:pPr>
      <w:pStyle w:val="HDR"/>
      <w:rPr>
        <w:b/>
        <w:sz w:val="20"/>
      </w:rPr>
    </w:pPr>
    <w:r>
      <w:rPr>
        <w:b/>
        <w:sz w:val="20"/>
      </w:rPr>
      <w:t xml:space="preserve">LOWE'S OF </w:t>
    </w:r>
    <w:r w:rsidR="00CA3E17">
      <w:rPr>
        <w:b/>
        <w:sz w:val="20"/>
      </w:rPr>
      <w:t>WESTIELD, FL.</w:t>
    </w:r>
    <w:r>
      <w:rPr>
        <w:b/>
        <w:sz w:val="20"/>
      </w:rPr>
      <w:tab/>
    </w:r>
    <w:r>
      <w:rPr>
        <w:b/>
        <w:sz w:val="20"/>
      </w:rPr>
      <w:tab/>
    </w:r>
    <w:r w:rsidR="007038CA">
      <w:rPr>
        <w:b/>
        <w:sz w:val="20"/>
      </w:rPr>
      <w:t>06</w:t>
    </w:r>
    <w:r w:rsidR="00CB5AC8">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4832" w14:textId="77777777" w:rsidR="00CA3E17" w:rsidRDefault="00CA3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276ABC6"/>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95938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C52D47"/>
    <w:rsid w:val="00002AE3"/>
    <w:rsid w:val="00021800"/>
    <w:rsid w:val="00033966"/>
    <w:rsid w:val="000368CD"/>
    <w:rsid w:val="0004464D"/>
    <w:rsid w:val="0005776A"/>
    <w:rsid w:val="000B5118"/>
    <w:rsid w:val="000C7CDB"/>
    <w:rsid w:val="00125F00"/>
    <w:rsid w:val="0014140A"/>
    <w:rsid w:val="00151113"/>
    <w:rsid w:val="00155802"/>
    <w:rsid w:val="0016653E"/>
    <w:rsid w:val="001902F4"/>
    <w:rsid w:val="001A3EAA"/>
    <w:rsid w:val="001B5F1F"/>
    <w:rsid w:val="001D68E9"/>
    <w:rsid w:val="00221E2C"/>
    <w:rsid w:val="0022799F"/>
    <w:rsid w:val="002652F9"/>
    <w:rsid w:val="00266D0B"/>
    <w:rsid w:val="00293651"/>
    <w:rsid w:val="002A68F2"/>
    <w:rsid w:val="002F321A"/>
    <w:rsid w:val="003374A0"/>
    <w:rsid w:val="00351A57"/>
    <w:rsid w:val="003548E1"/>
    <w:rsid w:val="00374911"/>
    <w:rsid w:val="00383447"/>
    <w:rsid w:val="003F133E"/>
    <w:rsid w:val="00456B54"/>
    <w:rsid w:val="004847C4"/>
    <w:rsid w:val="004C4DE8"/>
    <w:rsid w:val="004E1083"/>
    <w:rsid w:val="004E4DA5"/>
    <w:rsid w:val="00535A63"/>
    <w:rsid w:val="005758B9"/>
    <w:rsid w:val="005812C0"/>
    <w:rsid w:val="00581562"/>
    <w:rsid w:val="005A6899"/>
    <w:rsid w:val="005D09C8"/>
    <w:rsid w:val="005D573A"/>
    <w:rsid w:val="005F5357"/>
    <w:rsid w:val="00630A83"/>
    <w:rsid w:val="0063124A"/>
    <w:rsid w:val="00633D6A"/>
    <w:rsid w:val="00654E6B"/>
    <w:rsid w:val="006639D6"/>
    <w:rsid w:val="00681059"/>
    <w:rsid w:val="006A2AD2"/>
    <w:rsid w:val="006B299A"/>
    <w:rsid w:val="006C6C50"/>
    <w:rsid w:val="006D4EF3"/>
    <w:rsid w:val="007038CA"/>
    <w:rsid w:val="00704892"/>
    <w:rsid w:val="0071083A"/>
    <w:rsid w:val="00797970"/>
    <w:rsid w:val="007A410A"/>
    <w:rsid w:val="0080544F"/>
    <w:rsid w:val="00806FF1"/>
    <w:rsid w:val="00855974"/>
    <w:rsid w:val="00856E50"/>
    <w:rsid w:val="00861B8A"/>
    <w:rsid w:val="00894713"/>
    <w:rsid w:val="00897122"/>
    <w:rsid w:val="008B057E"/>
    <w:rsid w:val="008D4D90"/>
    <w:rsid w:val="009021AF"/>
    <w:rsid w:val="00910D8C"/>
    <w:rsid w:val="009401FF"/>
    <w:rsid w:val="009B69C5"/>
    <w:rsid w:val="00A01611"/>
    <w:rsid w:val="00A01689"/>
    <w:rsid w:val="00A06C82"/>
    <w:rsid w:val="00A47D85"/>
    <w:rsid w:val="00A536BA"/>
    <w:rsid w:val="00A73A93"/>
    <w:rsid w:val="00A74602"/>
    <w:rsid w:val="00B10FC1"/>
    <w:rsid w:val="00B14D26"/>
    <w:rsid w:val="00B33A08"/>
    <w:rsid w:val="00BB5102"/>
    <w:rsid w:val="00BC3C41"/>
    <w:rsid w:val="00BC5B79"/>
    <w:rsid w:val="00BE13A2"/>
    <w:rsid w:val="00BE5B30"/>
    <w:rsid w:val="00C31728"/>
    <w:rsid w:val="00C47B29"/>
    <w:rsid w:val="00C52D47"/>
    <w:rsid w:val="00C530C4"/>
    <w:rsid w:val="00C54556"/>
    <w:rsid w:val="00C745FE"/>
    <w:rsid w:val="00CA3E17"/>
    <w:rsid w:val="00CB5AC8"/>
    <w:rsid w:val="00CD1A60"/>
    <w:rsid w:val="00D032DD"/>
    <w:rsid w:val="00DA4A27"/>
    <w:rsid w:val="00DA685F"/>
    <w:rsid w:val="00DC19D4"/>
    <w:rsid w:val="00DE20C5"/>
    <w:rsid w:val="00DE2226"/>
    <w:rsid w:val="00E3464A"/>
    <w:rsid w:val="00E37CA4"/>
    <w:rsid w:val="00E75B38"/>
    <w:rsid w:val="00E9085D"/>
    <w:rsid w:val="00EC65F8"/>
    <w:rsid w:val="00ED137D"/>
    <w:rsid w:val="00F325E7"/>
    <w:rsid w:val="00F36516"/>
    <w:rsid w:val="00F41B1D"/>
    <w:rsid w:val="00F42231"/>
    <w:rsid w:val="00F60391"/>
    <w:rsid w:val="00F83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06686"/>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9D4"/>
    <w:rPr>
      <w:sz w:val="22"/>
    </w:rPr>
  </w:style>
  <w:style w:type="paragraph" w:styleId="Heading1">
    <w:name w:val="heading 1"/>
    <w:basedOn w:val="Normal"/>
    <w:next w:val="Normal"/>
    <w:qFormat/>
    <w:rsid w:val="00DC19D4"/>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DC19D4"/>
    <w:pPr>
      <w:tabs>
        <w:tab w:val="center" w:pos="4608"/>
        <w:tab w:val="right" w:pos="9360"/>
      </w:tabs>
      <w:suppressAutoHyphens/>
      <w:jc w:val="both"/>
    </w:pPr>
  </w:style>
  <w:style w:type="paragraph" w:customStyle="1" w:styleId="FTR">
    <w:name w:val="FTR"/>
    <w:basedOn w:val="Normal"/>
    <w:next w:val="SCT"/>
    <w:rsid w:val="00DC19D4"/>
    <w:pPr>
      <w:tabs>
        <w:tab w:val="right" w:pos="9360"/>
      </w:tabs>
      <w:suppressAutoHyphens/>
      <w:jc w:val="both"/>
    </w:pPr>
  </w:style>
  <w:style w:type="paragraph" w:customStyle="1" w:styleId="SCT">
    <w:name w:val="SCT"/>
    <w:basedOn w:val="Normal"/>
    <w:next w:val="PRT"/>
    <w:rsid w:val="00DC19D4"/>
    <w:pPr>
      <w:suppressAutoHyphens/>
      <w:spacing w:before="240"/>
      <w:jc w:val="both"/>
    </w:pPr>
  </w:style>
  <w:style w:type="paragraph" w:customStyle="1" w:styleId="PRT">
    <w:name w:val="PRT"/>
    <w:basedOn w:val="Normal"/>
    <w:next w:val="ART"/>
    <w:rsid w:val="00DC19D4"/>
    <w:pPr>
      <w:numPr>
        <w:numId w:val="1"/>
      </w:numPr>
      <w:suppressAutoHyphens/>
      <w:spacing w:before="240"/>
      <w:jc w:val="both"/>
      <w:outlineLvl w:val="0"/>
    </w:pPr>
  </w:style>
  <w:style w:type="paragraph" w:customStyle="1" w:styleId="SUT">
    <w:name w:val="SUT"/>
    <w:basedOn w:val="Normal"/>
    <w:next w:val="PR1"/>
    <w:rsid w:val="00DC19D4"/>
    <w:pPr>
      <w:numPr>
        <w:ilvl w:val="1"/>
        <w:numId w:val="1"/>
      </w:numPr>
      <w:suppressAutoHyphens/>
      <w:spacing w:before="240"/>
      <w:jc w:val="both"/>
      <w:outlineLvl w:val="0"/>
    </w:pPr>
  </w:style>
  <w:style w:type="paragraph" w:customStyle="1" w:styleId="DST">
    <w:name w:val="DST"/>
    <w:basedOn w:val="Normal"/>
    <w:next w:val="PR1"/>
    <w:rsid w:val="00DC19D4"/>
    <w:pPr>
      <w:numPr>
        <w:ilvl w:val="2"/>
        <w:numId w:val="1"/>
      </w:numPr>
      <w:suppressAutoHyphens/>
      <w:spacing w:before="240"/>
      <w:jc w:val="both"/>
      <w:outlineLvl w:val="0"/>
    </w:pPr>
  </w:style>
  <w:style w:type="paragraph" w:customStyle="1" w:styleId="ART">
    <w:name w:val="ART"/>
    <w:basedOn w:val="Normal"/>
    <w:next w:val="PR1"/>
    <w:rsid w:val="00DC19D4"/>
    <w:pPr>
      <w:numPr>
        <w:ilvl w:val="3"/>
        <w:numId w:val="1"/>
      </w:numPr>
      <w:suppressAutoHyphens/>
      <w:spacing w:before="240"/>
      <w:jc w:val="both"/>
      <w:outlineLvl w:val="1"/>
    </w:pPr>
  </w:style>
  <w:style w:type="paragraph" w:customStyle="1" w:styleId="PR1">
    <w:name w:val="PR1"/>
    <w:basedOn w:val="Normal"/>
    <w:rsid w:val="00DC19D4"/>
    <w:pPr>
      <w:numPr>
        <w:ilvl w:val="4"/>
        <w:numId w:val="1"/>
      </w:numPr>
      <w:suppressAutoHyphens/>
      <w:spacing w:before="240"/>
      <w:jc w:val="both"/>
      <w:outlineLvl w:val="2"/>
    </w:pPr>
  </w:style>
  <w:style w:type="paragraph" w:customStyle="1" w:styleId="PR2">
    <w:name w:val="PR2"/>
    <w:basedOn w:val="Normal"/>
    <w:rsid w:val="00DC19D4"/>
    <w:pPr>
      <w:numPr>
        <w:ilvl w:val="5"/>
        <w:numId w:val="1"/>
      </w:numPr>
      <w:suppressAutoHyphens/>
      <w:jc w:val="both"/>
      <w:outlineLvl w:val="3"/>
    </w:pPr>
  </w:style>
  <w:style w:type="paragraph" w:customStyle="1" w:styleId="PR3">
    <w:name w:val="PR3"/>
    <w:basedOn w:val="Normal"/>
    <w:rsid w:val="00DC19D4"/>
    <w:pPr>
      <w:numPr>
        <w:ilvl w:val="6"/>
        <w:numId w:val="1"/>
      </w:numPr>
      <w:suppressAutoHyphens/>
      <w:jc w:val="both"/>
      <w:outlineLvl w:val="4"/>
    </w:pPr>
  </w:style>
  <w:style w:type="paragraph" w:customStyle="1" w:styleId="PR4">
    <w:name w:val="PR4"/>
    <w:basedOn w:val="Normal"/>
    <w:rsid w:val="00DC19D4"/>
    <w:pPr>
      <w:numPr>
        <w:ilvl w:val="7"/>
        <w:numId w:val="1"/>
      </w:numPr>
      <w:suppressAutoHyphens/>
      <w:jc w:val="both"/>
      <w:outlineLvl w:val="5"/>
    </w:pPr>
  </w:style>
  <w:style w:type="paragraph" w:customStyle="1" w:styleId="PR5">
    <w:name w:val="PR5"/>
    <w:basedOn w:val="Normal"/>
    <w:rsid w:val="00DC19D4"/>
    <w:pPr>
      <w:numPr>
        <w:ilvl w:val="8"/>
        <w:numId w:val="1"/>
      </w:numPr>
      <w:suppressAutoHyphens/>
      <w:jc w:val="both"/>
      <w:outlineLvl w:val="6"/>
    </w:pPr>
  </w:style>
  <w:style w:type="paragraph" w:customStyle="1" w:styleId="TB1">
    <w:name w:val="TB1"/>
    <w:basedOn w:val="Normal"/>
    <w:next w:val="PR1"/>
    <w:rsid w:val="00DC19D4"/>
    <w:pPr>
      <w:suppressAutoHyphens/>
      <w:spacing w:before="240"/>
      <w:ind w:left="288"/>
      <w:jc w:val="both"/>
    </w:pPr>
  </w:style>
  <w:style w:type="paragraph" w:customStyle="1" w:styleId="TB2">
    <w:name w:val="TB2"/>
    <w:basedOn w:val="Normal"/>
    <w:next w:val="PR2"/>
    <w:rsid w:val="00DC19D4"/>
    <w:pPr>
      <w:suppressAutoHyphens/>
      <w:spacing w:before="240"/>
      <w:ind w:left="864"/>
      <w:jc w:val="both"/>
    </w:pPr>
  </w:style>
  <w:style w:type="paragraph" w:customStyle="1" w:styleId="TB3">
    <w:name w:val="TB3"/>
    <w:basedOn w:val="Normal"/>
    <w:next w:val="PR3"/>
    <w:rsid w:val="00DC19D4"/>
    <w:pPr>
      <w:suppressAutoHyphens/>
      <w:spacing w:before="240"/>
      <w:ind w:left="1440"/>
      <w:jc w:val="both"/>
    </w:pPr>
  </w:style>
  <w:style w:type="paragraph" w:customStyle="1" w:styleId="TB4">
    <w:name w:val="TB4"/>
    <w:basedOn w:val="Normal"/>
    <w:next w:val="PR4"/>
    <w:rsid w:val="00DC19D4"/>
    <w:pPr>
      <w:suppressAutoHyphens/>
      <w:spacing w:before="240"/>
      <w:ind w:left="2016"/>
      <w:jc w:val="both"/>
    </w:pPr>
  </w:style>
  <w:style w:type="paragraph" w:customStyle="1" w:styleId="TB5">
    <w:name w:val="TB5"/>
    <w:basedOn w:val="Normal"/>
    <w:next w:val="PR5"/>
    <w:rsid w:val="00DC19D4"/>
    <w:pPr>
      <w:suppressAutoHyphens/>
      <w:spacing w:before="240"/>
      <w:ind w:left="2592"/>
      <w:jc w:val="both"/>
    </w:pPr>
  </w:style>
  <w:style w:type="paragraph" w:customStyle="1" w:styleId="TCH">
    <w:name w:val="TCH"/>
    <w:basedOn w:val="Normal"/>
    <w:rsid w:val="00DC19D4"/>
    <w:pPr>
      <w:suppressAutoHyphens/>
    </w:pPr>
  </w:style>
  <w:style w:type="paragraph" w:customStyle="1" w:styleId="TCE">
    <w:name w:val="TCE"/>
    <w:basedOn w:val="Normal"/>
    <w:rsid w:val="00DC19D4"/>
    <w:pPr>
      <w:suppressAutoHyphens/>
      <w:ind w:left="144" w:hanging="144"/>
    </w:pPr>
  </w:style>
  <w:style w:type="paragraph" w:customStyle="1" w:styleId="EOS">
    <w:name w:val="EOS"/>
    <w:basedOn w:val="Normal"/>
    <w:rsid w:val="00DC19D4"/>
    <w:pPr>
      <w:suppressAutoHyphens/>
      <w:spacing w:before="240"/>
      <w:jc w:val="both"/>
    </w:pPr>
  </w:style>
  <w:style w:type="paragraph" w:customStyle="1" w:styleId="CMT">
    <w:name w:val="CMT"/>
    <w:basedOn w:val="Normal"/>
    <w:rsid w:val="00DC19D4"/>
    <w:pPr>
      <w:suppressAutoHyphens/>
      <w:spacing w:before="240"/>
      <w:jc w:val="both"/>
    </w:pPr>
    <w:rPr>
      <w:vanish/>
      <w:color w:val="0000FF"/>
    </w:rPr>
  </w:style>
  <w:style w:type="character" w:customStyle="1" w:styleId="SI">
    <w:name w:val="SI"/>
    <w:basedOn w:val="DefaultParagraphFont"/>
    <w:rsid w:val="00DC19D4"/>
    <w:rPr>
      <w:color w:val="auto"/>
    </w:rPr>
  </w:style>
  <w:style w:type="character" w:customStyle="1" w:styleId="IP">
    <w:name w:val="IP"/>
    <w:basedOn w:val="DefaultParagraphFont"/>
    <w:rsid w:val="00DC19D4"/>
    <w:rPr>
      <w:color w:val="000000"/>
    </w:rPr>
  </w:style>
  <w:style w:type="paragraph" w:styleId="Header">
    <w:name w:val="header"/>
    <w:basedOn w:val="Normal"/>
    <w:rsid w:val="00DC19D4"/>
    <w:pPr>
      <w:tabs>
        <w:tab w:val="center" w:pos="4320"/>
        <w:tab w:val="right" w:pos="8640"/>
      </w:tabs>
    </w:pPr>
  </w:style>
  <w:style w:type="paragraph" w:styleId="Footer">
    <w:name w:val="footer"/>
    <w:basedOn w:val="Normal"/>
    <w:rsid w:val="00DC19D4"/>
    <w:pPr>
      <w:tabs>
        <w:tab w:val="center" w:pos="4320"/>
        <w:tab w:val="right" w:pos="8640"/>
      </w:tabs>
    </w:pPr>
  </w:style>
  <w:style w:type="paragraph" w:styleId="Title">
    <w:name w:val="Title"/>
    <w:basedOn w:val="Normal"/>
    <w:qFormat/>
    <w:rsid w:val="00DC19D4"/>
    <w:pPr>
      <w:jc w:val="center"/>
    </w:pPr>
    <w:rPr>
      <w:b/>
      <w:sz w:val="24"/>
      <w:u w:val="single"/>
    </w:rPr>
  </w:style>
  <w:style w:type="paragraph" w:styleId="BodyText">
    <w:name w:val="Body Text"/>
    <w:basedOn w:val="Normal"/>
    <w:rsid w:val="00DC19D4"/>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DC3F293-0EC5-42A1-852D-2B89A2FA3732}"/>
</file>

<file path=customXml/itemProps2.xml><?xml version="1.0" encoding="utf-8"?>
<ds:datastoreItem xmlns:ds="http://schemas.openxmlformats.org/officeDocument/2006/customXml" ds:itemID="{95EC5570-5B59-490F-AA98-7B39CDBE7322}"/>
</file>

<file path=customXml/itemProps3.xml><?xml version="1.0" encoding="utf-8"?>
<ds:datastoreItem xmlns:ds="http://schemas.openxmlformats.org/officeDocument/2006/customXml" ds:itemID="{452D072D-B9C7-4975-BA76-9EEE17330B43}"/>
</file>

<file path=docProps/app.xml><?xml version="1.0" encoding="utf-8"?>
<Properties xmlns="http://schemas.openxmlformats.org/officeDocument/2006/extended-properties" xmlns:vt="http://schemas.openxmlformats.org/officeDocument/2006/docPropsVTypes">
  <Template>Normal</Template>
  <TotalTime>6</TotalTime>
  <Pages>3</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16521 - EXTERIOR LIGHTING</vt:lpstr>
    </vt:vector>
  </TitlesOfParts>
  <Company>ARCOM, Inc.</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16521 - EXTERIOR LIGHTING</dc:title>
  <dc:subject>EXTERIOR LIGHTING</dc:subject>
  <dc:creator>ARCOM, Inc.</dc:creator>
  <cp:keywords>BAS-12345-MS80</cp:keywords>
  <cp:lastModifiedBy>Jimmy Myers</cp:lastModifiedBy>
  <cp:revision>14</cp:revision>
  <cp:lastPrinted>2002-06-28T18:01:00Z</cp:lastPrinted>
  <dcterms:created xsi:type="dcterms:W3CDTF">2009-09-29T17:56:00Z</dcterms:created>
  <dcterms:modified xsi:type="dcterms:W3CDTF">2025-04-14T14:37:00Z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