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83D0" w14:textId="77777777" w:rsidR="00037DC7" w:rsidRDefault="00037DC7">
      <w:pPr>
        <w:pStyle w:val="CMT"/>
        <w:rPr>
          <w:b/>
        </w:rPr>
      </w:pPr>
      <w:r>
        <w:rPr>
          <w:b/>
        </w:rPr>
        <w:t>Copyright , The American Institute of Architects (AIA).  This is &lt;Library, e.g. A/S/C Basic&gt; Short Form? Section.</w:t>
      </w:r>
    </w:p>
    <w:p w14:paraId="23FC9AD4" w14:textId="77777777" w:rsidR="00037DC7" w:rsidRDefault="00037DC7">
      <w:pPr>
        <w:pStyle w:val="CMT"/>
        <w:rPr>
          <w:b/>
        </w:rPr>
      </w:pPr>
      <w:r>
        <w:rPr>
          <w:b/>
        </w:rPr>
        <w:t>General Note:  Eliminate one paragraph articles by incorporating requirements into other articles, unless the article title is used for a standard MASTERWORKS report search (in order to keep reports consistent between Full-Length and Short Form sections).  Article titles used for MASTERWORKS reports are "Allowances," "Alternates," "Commissioning," "Demonstration," "Extra Materials," "Field Quality Control," "Maintenance," "Submittals," "Summary," and "Warranty."</w:t>
      </w:r>
    </w:p>
    <w:p w14:paraId="2CCC8FCF" w14:textId="77777777" w:rsidR="00037DC7" w:rsidRDefault="00037DC7">
      <w:pPr>
        <w:pStyle w:val="SCT"/>
        <w:spacing w:before="0"/>
        <w:rPr>
          <w:b/>
        </w:rPr>
      </w:pPr>
      <w:r>
        <w:rPr>
          <w:b/>
        </w:rPr>
        <w:t>SECTION 16515 - MODULAR WIRING SYSTEM</w:t>
      </w:r>
    </w:p>
    <w:p w14:paraId="3EB5B50B" w14:textId="77777777" w:rsidR="00037DC7" w:rsidRDefault="00037DC7">
      <w:pPr>
        <w:pStyle w:val="CMT"/>
      </w:pPr>
      <w:r>
        <w:rPr>
          <w:b/>
        </w:rPr>
        <w:t>Delete editor's note below if not applicable to this Section.</w:t>
      </w:r>
    </w:p>
    <w:p w14:paraId="5BEF2D5A" w14:textId="77777777" w:rsidR="00037DC7" w:rsidRDefault="00037DC7">
      <w:pPr>
        <w:pStyle w:val="CMT"/>
      </w:pPr>
      <w:r>
        <w:t>This Section uses the term "Architect." Change this term to match that used to identify the design professional as defined in the General and Supplementary Conditions.</w:t>
      </w:r>
    </w:p>
    <w:p w14:paraId="01ABC50B" w14:textId="77777777" w:rsidR="00037DC7" w:rsidRDefault="00037DC7">
      <w:pPr>
        <w:pStyle w:val="PRT"/>
        <w:spacing w:before="240"/>
      </w:pPr>
      <w:r>
        <w:t>GENERAL</w:t>
      </w:r>
    </w:p>
    <w:p w14:paraId="35B2E753" w14:textId="77777777" w:rsidR="00037DC7" w:rsidRDefault="00037DC7">
      <w:pPr>
        <w:pStyle w:val="CMT"/>
        <w:tabs>
          <w:tab w:val="left" w:pos="720"/>
        </w:tabs>
        <w:ind w:left="720" w:hanging="720"/>
      </w:pPr>
      <w:r>
        <w:rPr>
          <w:b/>
        </w:rPr>
        <w:t>Delete Full-Length Section's "Related Documents" Article.</w:t>
      </w:r>
    </w:p>
    <w:p w14:paraId="2B613B11" w14:textId="77777777" w:rsidR="00037DC7" w:rsidRDefault="00037DC7">
      <w:pPr>
        <w:pStyle w:val="ART"/>
        <w:tabs>
          <w:tab w:val="clear" w:pos="864"/>
          <w:tab w:val="left" w:pos="720"/>
        </w:tabs>
        <w:spacing w:before="240"/>
        <w:ind w:left="720" w:hanging="720"/>
      </w:pPr>
      <w:r>
        <w:t>SUMMARY</w:t>
      </w:r>
    </w:p>
    <w:p w14:paraId="4C23B279" w14:textId="77777777" w:rsidR="00037DC7" w:rsidRDefault="00037DC7">
      <w:pPr>
        <w:pStyle w:val="CMT"/>
        <w:spacing w:before="0"/>
        <w:ind w:left="720" w:hanging="540"/>
      </w:pPr>
      <w:r>
        <w:rPr>
          <w:b/>
        </w:rPr>
        <w:t>Always retain this Article.  Insert a concise description of items in the Section, but avoid simply restating the Section title; see sample Short Form Sections.  If applicable, use in-line optional text to describe items included in Section.  Let the user insert punctuation between options, unless you can provide typical punctuation that will accommodate the majority of users.</w:t>
      </w:r>
    </w:p>
    <w:p w14:paraId="1082A7BF" w14:textId="77777777" w:rsidR="00037DC7" w:rsidRDefault="00037DC7">
      <w:pPr>
        <w:pStyle w:val="PR1"/>
        <w:tabs>
          <w:tab w:val="clear" w:pos="864"/>
        </w:tabs>
        <w:spacing w:before="0"/>
        <w:ind w:left="720" w:hanging="540"/>
      </w:pPr>
      <w:r>
        <w:t>This Section includes interior modular wiring system.</w:t>
      </w:r>
      <w:r w:rsidR="00426FB4">
        <w:t xml:space="preserve">  The modular wiring is included in the pricing of the National Account light fixtures and will be supplied as part of the agreement with the supplier that is supplying the light fixtures.  Accepting delivery and signing the delivery receipt indicates all </w:t>
      </w:r>
      <w:r w:rsidR="0089529A">
        <w:t xml:space="preserve">pieces </w:t>
      </w:r>
      <w:r w:rsidR="00426FB4">
        <w:t>indicated on the shop drawings are delivered.  After signing the delivery receipt the contractor will be responsible for all broken components, missing parts and/or shortages</w:t>
      </w:r>
      <w:r w:rsidR="00A52F4E">
        <w:t xml:space="preserve"> not reported within 24 hours after delivery</w:t>
      </w:r>
      <w:r w:rsidR="00426FB4">
        <w:t xml:space="preserve">. </w:t>
      </w:r>
    </w:p>
    <w:p w14:paraId="7F6A116A" w14:textId="77777777" w:rsidR="00037DC7" w:rsidRDefault="00037DC7">
      <w:pPr>
        <w:pStyle w:val="CMT"/>
        <w:tabs>
          <w:tab w:val="left" w:pos="720"/>
        </w:tabs>
        <w:ind w:left="720" w:hanging="720"/>
      </w:pPr>
      <w:r>
        <w:rPr>
          <w:b/>
        </w:rPr>
        <w:t>Delete Full-Length Section's "Related Sections" Article.  If it is absolutely necessary to cross-reference another Section, retain the subparagraph below.</w:t>
      </w:r>
    </w:p>
    <w:p w14:paraId="232B1734" w14:textId="77777777" w:rsidR="00037DC7" w:rsidRDefault="00037DC7">
      <w:pPr>
        <w:pStyle w:val="CMT"/>
        <w:tabs>
          <w:tab w:val="left" w:pos="720"/>
        </w:tabs>
        <w:ind w:left="720" w:hanging="720"/>
      </w:pPr>
      <w:r>
        <w:rPr>
          <w:b/>
        </w:rPr>
        <w:t>Example Text:  See Division 7 Section</w:t>
      </w:r>
      <w:r>
        <w:t xml:space="preserve"> [</w:t>
      </w:r>
      <w:r>
        <w:rPr>
          <w:b/>
        </w:rPr>
        <w:t>"Joint Sealants"</w:t>
      </w:r>
      <w:r>
        <w:t>] &lt;</w:t>
      </w:r>
      <w:r>
        <w:rPr>
          <w:b/>
        </w:rPr>
        <w:t>insert title</w:t>
      </w:r>
      <w:r>
        <w:t xml:space="preserve">&gt; </w:t>
      </w:r>
      <w:r>
        <w:rPr>
          <w:b/>
        </w:rPr>
        <w:t>for sealants installed at skylight perimeter.</w:t>
      </w:r>
    </w:p>
    <w:p w14:paraId="4725FDEE" w14:textId="77777777" w:rsidR="00037DC7" w:rsidRDefault="00037DC7">
      <w:pPr>
        <w:pStyle w:val="CMT"/>
        <w:tabs>
          <w:tab w:val="left" w:pos="720"/>
        </w:tabs>
        <w:ind w:left="720" w:hanging="720"/>
      </w:pPr>
      <w:r>
        <w:rPr>
          <w:b/>
        </w:rPr>
        <w:t>Generally, delete Full-Length Section's "Definitions" Article; retain only if absolutely necessary.</w:t>
      </w:r>
    </w:p>
    <w:p w14:paraId="178B7DB6" w14:textId="77777777" w:rsidR="00037DC7" w:rsidRDefault="00037DC7">
      <w:pPr>
        <w:pStyle w:val="CMT"/>
        <w:tabs>
          <w:tab w:val="left" w:pos="720"/>
        </w:tabs>
        <w:ind w:left="720" w:hanging="720"/>
      </w:pPr>
      <w:r>
        <w:rPr>
          <w:b/>
        </w:rPr>
        <w:t>Unless performance specifications are the most common way of specifying products of this Section, delete Full-Length Section's "Performance Requirements" Article.  See Short Form sample Section 08632 for an example of stream-lined performance requirements.</w:t>
      </w:r>
    </w:p>
    <w:p w14:paraId="5D627852" w14:textId="77777777" w:rsidR="00037DC7" w:rsidRDefault="00037DC7">
      <w:pPr>
        <w:pStyle w:val="ART"/>
        <w:tabs>
          <w:tab w:val="clear" w:pos="864"/>
          <w:tab w:val="left" w:pos="720"/>
        </w:tabs>
        <w:spacing w:before="240"/>
        <w:ind w:left="720" w:hanging="720"/>
      </w:pPr>
      <w:r>
        <w:t>SUBMITTALS</w:t>
      </w:r>
    </w:p>
    <w:p w14:paraId="25AECD63" w14:textId="77777777" w:rsidR="00037DC7" w:rsidRDefault="00037DC7">
      <w:pPr>
        <w:pStyle w:val="CMT"/>
        <w:ind w:left="720" w:hanging="540"/>
      </w:pPr>
      <w:r>
        <w:rPr>
          <w:b/>
        </w:rPr>
        <w:t>Using the Full-Length Section as a basis, simplify the descriptions for each required submittal and delete all but the most common submittals.  Retain or revise sample text for Short Form Section submittals below.</w:t>
      </w:r>
    </w:p>
    <w:p w14:paraId="3E0A2283" w14:textId="77777777" w:rsidR="00037DC7" w:rsidRDefault="00037DC7">
      <w:pPr>
        <w:pStyle w:val="PR1"/>
        <w:tabs>
          <w:tab w:val="clear" w:pos="864"/>
        </w:tabs>
        <w:spacing w:before="0"/>
        <w:ind w:left="720" w:hanging="540"/>
      </w:pPr>
      <w:r>
        <w:t>Shop Drawings:  Include details of installation wiring diagrams, and attachments to other Work.</w:t>
      </w:r>
    </w:p>
    <w:p w14:paraId="25DAC360" w14:textId="77777777" w:rsidR="00037DC7" w:rsidRDefault="00037DC7">
      <w:pPr>
        <w:pStyle w:val="PR1"/>
        <w:tabs>
          <w:tab w:val="clear" w:pos="864"/>
        </w:tabs>
        <w:spacing w:before="0"/>
        <w:ind w:left="720" w:hanging="540"/>
      </w:pPr>
      <w:r>
        <w:t>As-Built Drawings:  Submit at closeout the Red-Lined Shop Drawings of the completed installation.</w:t>
      </w:r>
    </w:p>
    <w:p w14:paraId="5485EDCD" w14:textId="77777777" w:rsidR="00037DC7" w:rsidRDefault="00037DC7">
      <w:pPr>
        <w:pStyle w:val="CMT"/>
        <w:tabs>
          <w:tab w:val="left" w:pos="720"/>
        </w:tabs>
        <w:ind w:left="720" w:hanging="720"/>
      </w:pPr>
      <w:r>
        <w:t>Delete subparagraph below if not applicable to systems required.  Delete or modify below if Architect assumes or is required by law to assume design responsibility.</w:t>
      </w:r>
    </w:p>
    <w:p w14:paraId="3100A698" w14:textId="77777777" w:rsidR="00037DC7" w:rsidRDefault="00037DC7">
      <w:pPr>
        <w:pStyle w:val="CMT"/>
        <w:tabs>
          <w:tab w:val="left" w:pos="720"/>
        </w:tabs>
        <w:ind w:left="720" w:hanging="720"/>
      </w:pPr>
      <w:r>
        <w:rPr>
          <w:b/>
        </w:rPr>
        <w:t>Delete Full-Length Section's "Samples for Initial Selection" paragraph; if selections are necessary, the need to submit color charts is obvious.</w:t>
      </w:r>
    </w:p>
    <w:p w14:paraId="0103D5E3" w14:textId="77777777" w:rsidR="00037DC7" w:rsidRDefault="00037DC7">
      <w:pPr>
        <w:pStyle w:val="CMT"/>
        <w:tabs>
          <w:tab w:val="left" w:pos="720"/>
        </w:tabs>
        <w:ind w:left="720" w:hanging="720"/>
      </w:pPr>
      <w:r>
        <w:lastRenderedPageBreak/>
        <w:t>Paragraph below assumes manufacturer's standard size samples are acceptable.  Revise to suit Project.</w:t>
      </w:r>
    </w:p>
    <w:p w14:paraId="0B310F94" w14:textId="77777777" w:rsidR="00037DC7" w:rsidRDefault="00037DC7">
      <w:pPr>
        <w:pStyle w:val="CMT"/>
        <w:tabs>
          <w:tab w:val="left" w:pos="720"/>
        </w:tabs>
        <w:ind w:left="720" w:hanging="720"/>
      </w:pPr>
      <w:r>
        <w:rPr>
          <w:b/>
        </w:rPr>
        <w:t>Generally, delete submittals listed below unless they are absolutely necessary.</w:t>
      </w:r>
    </w:p>
    <w:p w14:paraId="742F5763" w14:textId="77777777" w:rsidR="00037DC7" w:rsidRDefault="00037DC7">
      <w:pPr>
        <w:pStyle w:val="ART"/>
        <w:tabs>
          <w:tab w:val="clear" w:pos="864"/>
          <w:tab w:val="left" w:pos="720"/>
        </w:tabs>
        <w:spacing w:before="240"/>
        <w:ind w:left="720" w:hanging="720"/>
      </w:pPr>
      <w:r>
        <w:t>QUALITY ASSURANCE</w:t>
      </w:r>
    </w:p>
    <w:p w14:paraId="57386644" w14:textId="77777777" w:rsidR="00037DC7" w:rsidRDefault="00037DC7">
      <w:pPr>
        <w:pStyle w:val="CMT"/>
        <w:ind w:left="720" w:hanging="540"/>
      </w:pPr>
      <w:r>
        <w:rPr>
          <w:b/>
        </w:rPr>
        <w:t>Delete Full-Length Section's "Installer Qualifications" Paragraph unless Installer must be the fabricator or must be approved (certified) by manufacturer.</w:t>
      </w:r>
    </w:p>
    <w:p w14:paraId="29B81326" w14:textId="77777777" w:rsidR="00037DC7" w:rsidRDefault="00037DC7">
      <w:pPr>
        <w:pStyle w:val="CMT"/>
        <w:ind w:left="720" w:hanging="540"/>
      </w:pPr>
      <w:r>
        <w:rPr>
          <w:b/>
        </w:rPr>
        <w:t>Delete Full-Length Section's "Source Limitations" Paragraph unless absolutely necessary.  Providing each product from one source and of a single manufacturer is required by Division 1.</w:t>
      </w:r>
    </w:p>
    <w:p w14:paraId="15C3677B" w14:textId="77777777" w:rsidR="00037DC7" w:rsidRDefault="00037DC7">
      <w:pPr>
        <w:pStyle w:val="PR1"/>
        <w:tabs>
          <w:tab w:val="clear" w:pos="864"/>
        </w:tabs>
        <w:spacing w:before="0"/>
        <w:ind w:left="720" w:hanging="540"/>
      </w:pPr>
      <w:r>
        <w:t>Electrical Components, Devices, and Accessories:  Listed and labeled as defined in NFPA 70, Article 100, by a testing agency acceptable to authorities having jurisdiction, and marked for intended use.</w:t>
      </w:r>
    </w:p>
    <w:p w14:paraId="0465A8E3" w14:textId="77777777" w:rsidR="00037DC7" w:rsidRDefault="00037DC7">
      <w:pPr>
        <w:pStyle w:val="CMT"/>
      </w:pPr>
      <w:r>
        <w:rPr>
          <w:b/>
        </w:rPr>
        <w:t>Generally, delete Full-Length Section's "Delivery, Storage, and Handling," "Project Conditions," and "Coordination" articles unless they are absolutely necessary.</w:t>
      </w:r>
    </w:p>
    <w:p w14:paraId="4B0CBFB7" w14:textId="77777777" w:rsidR="00037DC7" w:rsidRDefault="00037DC7">
      <w:pPr>
        <w:pStyle w:val="PRT"/>
        <w:spacing w:before="240"/>
      </w:pPr>
      <w:r>
        <w:t>PRODUCTS</w:t>
      </w:r>
    </w:p>
    <w:p w14:paraId="4323B29C" w14:textId="77777777" w:rsidR="00037DC7" w:rsidRDefault="00037DC7">
      <w:pPr>
        <w:pStyle w:val="ART"/>
        <w:tabs>
          <w:tab w:val="clear" w:pos="864"/>
          <w:tab w:val="left" w:pos="720"/>
        </w:tabs>
        <w:spacing w:before="240"/>
        <w:ind w:left="720" w:hanging="720"/>
      </w:pPr>
      <w:r>
        <w:t>MANUFACTURERS</w:t>
      </w:r>
    </w:p>
    <w:p w14:paraId="4B87F06D" w14:textId="77777777" w:rsidR="00037DC7" w:rsidRDefault="00037DC7">
      <w:pPr>
        <w:pStyle w:val="CMT"/>
        <w:ind w:left="720" w:hanging="540"/>
      </w:pPr>
      <w:r>
        <w:rPr>
          <w:b/>
        </w:rPr>
        <w:t>Retain paragraph above or below.  Generally, name manufacturers and products; except, do not name manufacturers or products for commodity type items that are adequately described by a standard, such as standard gypsum board, even if they are named in the Full-Length Section.</w:t>
      </w:r>
    </w:p>
    <w:p w14:paraId="391F52B3" w14:textId="77777777" w:rsidR="00037DC7" w:rsidRDefault="00037DC7">
      <w:pPr>
        <w:pStyle w:val="PR1"/>
        <w:tabs>
          <w:tab w:val="clear" w:pos="864"/>
        </w:tabs>
        <w:spacing w:before="0"/>
        <w:ind w:left="720" w:hanging="540"/>
      </w:pPr>
      <w:r>
        <w:t>Products:  Subject to compliance with requirements, provide one of the following:</w:t>
      </w:r>
    </w:p>
    <w:p w14:paraId="01B47359" w14:textId="77777777" w:rsidR="00037DC7" w:rsidRDefault="00037DC7">
      <w:pPr>
        <w:pStyle w:val="CMT"/>
        <w:ind w:left="1080" w:hanging="360"/>
      </w:pPr>
      <w:r>
        <w:rPr>
          <w:b/>
        </w:rPr>
        <w:t>Retain editor's note below before list of manufacturers and products.</w:t>
      </w:r>
    </w:p>
    <w:p w14:paraId="02B9DA67" w14:textId="77777777" w:rsidR="00037DC7" w:rsidRDefault="00037DC7">
      <w:pPr>
        <w:pStyle w:val="CMT"/>
        <w:ind w:left="1080" w:hanging="360"/>
      </w:pPr>
      <w:r>
        <w:t>See "[</w:t>
      </w:r>
      <w:r>
        <w:rPr>
          <w:b/>
        </w:rPr>
        <w:t>Listed</w:t>
      </w:r>
      <w:r>
        <w:t>] Manufacturers" Article in the Evaluations for cautions about naming products and manufacturers.</w:t>
      </w:r>
    </w:p>
    <w:p w14:paraId="2EFC5652" w14:textId="77777777" w:rsidR="00037DC7" w:rsidRDefault="00037DC7">
      <w:pPr>
        <w:pStyle w:val="PR2"/>
        <w:tabs>
          <w:tab w:val="clear" w:pos="1440"/>
        </w:tabs>
        <w:ind w:left="1080" w:hanging="360"/>
      </w:pPr>
      <w:r>
        <w:t>RELOC</w:t>
      </w:r>
    </w:p>
    <w:p w14:paraId="21885B68" w14:textId="77777777" w:rsidR="00037DC7" w:rsidRDefault="00037DC7">
      <w:pPr>
        <w:pStyle w:val="PR2"/>
        <w:tabs>
          <w:tab w:val="clear" w:pos="1440"/>
        </w:tabs>
        <w:ind w:left="1080" w:hanging="360"/>
      </w:pPr>
      <w:r>
        <w:t>MWS</w:t>
      </w:r>
    </w:p>
    <w:p w14:paraId="07276BE4" w14:textId="77777777" w:rsidR="00037DC7" w:rsidRDefault="00037DC7">
      <w:pPr>
        <w:pStyle w:val="PR2"/>
        <w:tabs>
          <w:tab w:val="clear" w:pos="1440"/>
        </w:tabs>
        <w:ind w:left="1080" w:hanging="360"/>
      </w:pPr>
      <w:r>
        <w:t>SENTINEL</w:t>
      </w:r>
    </w:p>
    <w:p w14:paraId="0E62CBC5" w14:textId="77777777" w:rsidR="00037DC7" w:rsidRDefault="00037DC7">
      <w:pPr>
        <w:pStyle w:val="PR2"/>
        <w:tabs>
          <w:tab w:val="clear" w:pos="1440"/>
        </w:tabs>
        <w:ind w:left="1080" w:hanging="360"/>
      </w:pPr>
      <w:r>
        <w:t>ACS</w:t>
      </w:r>
    </w:p>
    <w:p w14:paraId="7F2FF20B" w14:textId="77777777" w:rsidR="00037DC7" w:rsidRDefault="00037DC7">
      <w:pPr>
        <w:pStyle w:val="CMT"/>
        <w:tabs>
          <w:tab w:val="left" w:pos="720"/>
        </w:tabs>
        <w:ind w:left="720" w:hanging="720"/>
      </w:pPr>
      <w:r>
        <w:rPr>
          <w:b/>
        </w:rPr>
        <w:t>Simplify Full-Length Section's Part 2 articles by including only the more commonly specified materials or products.  Usually eliminate requirements that make custom fabrication necessary, unless the product in question is typically custom fabricated.  Eliminate text that requires users to choose between two or more variations of the same type of product if variations are determined by which manufacturer is selected or if most users, in your judgement, are unlikely to have a strong preference.  Minimize specification of ancillary products.</w:t>
      </w:r>
    </w:p>
    <w:p w14:paraId="6D659A03" w14:textId="77777777" w:rsidR="00037DC7" w:rsidRDefault="00037DC7">
      <w:pPr>
        <w:pStyle w:val="ART"/>
        <w:tabs>
          <w:tab w:val="clear" w:pos="864"/>
          <w:tab w:val="left" w:pos="720"/>
        </w:tabs>
        <w:spacing w:before="240"/>
        <w:ind w:left="720" w:hanging="720"/>
      </w:pPr>
      <w:r>
        <w:t>MATERIALS &amp; FEATURES</w:t>
      </w:r>
    </w:p>
    <w:p w14:paraId="6DD25568" w14:textId="77777777" w:rsidR="00037DC7" w:rsidRDefault="00037DC7">
      <w:pPr>
        <w:pStyle w:val="PR1"/>
        <w:tabs>
          <w:tab w:val="clear" w:pos="864"/>
        </w:tabs>
        <w:spacing w:before="0"/>
        <w:ind w:left="720" w:hanging="540"/>
      </w:pPr>
      <w:r>
        <w:t>Flexible Wiring System:  Incorporating injection molded connectors.</w:t>
      </w:r>
    </w:p>
    <w:p w14:paraId="39235B69" w14:textId="77777777" w:rsidR="00037DC7" w:rsidRDefault="00037DC7">
      <w:pPr>
        <w:pStyle w:val="PR2"/>
        <w:tabs>
          <w:tab w:val="clear" w:pos="1440"/>
        </w:tabs>
        <w:ind w:left="1080" w:hanging="360"/>
      </w:pPr>
      <w:r>
        <w:t>Connectors shall be designed to allow isolating individual fixtures without disrupting power to remaining fixtures on the circuit.</w:t>
      </w:r>
    </w:p>
    <w:p w14:paraId="1C76A2E3" w14:textId="77777777" w:rsidR="00037DC7" w:rsidRDefault="00037DC7">
      <w:pPr>
        <w:pStyle w:val="PR2"/>
        <w:tabs>
          <w:tab w:val="clear" w:pos="1440"/>
        </w:tabs>
        <w:ind w:left="1080" w:hanging="360"/>
      </w:pPr>
      <w:r>
        <w:t>Conductors:  #12 Copper with 600-Volt, 105-Degree Insulation.</w:t>
      </w:r>
    </w:p>
    <w:p w14:paraId="0E53ACD8" w14:textId="77777777" w:rsidR="00037DC7" w:rsidRDefault="00037DC7">
      <w:pPr>
        <w:pStyle w:val="PR2"/>
        <w:tabs>
          <w:tab w:val="clear" w:pos="1440"/>
        </w:tabs>
        <w:ind w:left="1080" w:hanging="360"/>
      </w:pPr>
      <w:r>
        <w:t>System Rating:  20 Amperes.</w:t>
      </w:r>
    </w:p>
    <w:p w14:paraId="3B1A8DCC" w14:textId="77777777" w:rsidR="00037DC7" w:rsidRDefault="00037DC7">
      <w:pPr>
        <w:pStyle w:val="PR2"/>
        <w:tabs>
          <w:tab w:val="clear" w:pos="1440"/>
        </w:tabs>
        <w:ind w:left="1080" w:hanging="360"/>
      </w:pPr>
      <w:r>
        <w:t>Capacity:  System shall be capable of accommodating five conductors (2 hot, 2 neutral, and ground), and color-coded as follows:</w:t>
      </w:r>
    </w:p>
    <w:p w14:paraId="04BE8ED9" w14:textId="77777777" w:rsidR="00037DC7" w:rsidRDefault="00037DC7">
      <w:pPr>
        <w:pStyle w:val="PR3"/>
        <w:tabs>
          <w:tab w:val="clear" w:pos="2016"/>
        </w:tabs>
        <w:ind w:left="1440" w:hanging="360"/>
      </w:pPr>
      <w:r>
        <w:t>Black conductor – Hot wire for lighting circuits designated as fed from an “A” panel.</w:t>
      </w:r>
    </w:p>
    <w:p w14:paraId="1D7AD61A" w14:textId="77777777" w:rsidR="00037DC7" w:rsidRDefault="00037DC7">
      <w:pPr>
        <w:pStyle w:val="PR3"/>
        <w:tabs>
          <w:tab w:val="clear" w:pos="2016"/>
        </w:tabs>
        <w:ind w:left="1440" w:hanging="360"/>
      </w:pPr>
      <w:r>
        <w:t>White/Blue conductor – Neutral wire tied to the Gray “A” panel neutral.</w:t>
      </w:r>
    </w:p>
    <w:p w14:paraId="0C7470ED" w14:textId="77777777" w:rsidR="00037DC7" w:rsidRDefault="00037DC7">
      <w:pPr>
        <w:pStyle w:val="PR3"/>
        <w:tabs>
          <w:tab w:val="clear" w:pos="2016"/>
        </w:tabs>
        <w:ind w:left="1440" w:hanging="360"/>
      </w:pPr>
      <w:r>
        <w:t>Red conductor – Hot wire for lighting circuits designated as fed from a “B” panel.</w:t>
      </w:r>
    </w:p>
    <w:p w14:paraId="6A1CE087" w14:textId="77777777" w:rsidR="00037DC7" w:rsidRDefault="00037DC7">
      <w:pPr>
        <w:pStyle w:val="PR3"/>
        <w:tabs>
          <w:tab w:val="clear" w:pos="2016"/>
        </w:tabs>
        <w:ind w:left="1440" w:hanging="360"/>
      </w:pPr>
      <w:r>
        <w:t>White conductor – Neutral wire tied to the white “B” panel neutral.</w:t>
      </w:r>
    </w:p>
    <w:p w14:paraId="70DE903A" w14:textId="77777777" w:rsidR="00037DC7" w:rsidRDefault="00037DC7">
      <w:pPr>
        <w:pStyle w:val="PR3"/>
        <w:tabs>
          <w:tab w:val="clear" w:pos="2016"/>
        </w:tabs>
        <w:ind w:left="1440" w:hanging="360"/>
      </w:pPr>
      <w:r>
        <w:t>Green conductor – Ground wire.</w:t>
      </w:r>
    </w:p>
    <w:p w14:paraId="25500492" w14:textId="77777777" w:rsidR="00037DC7" w:rsidRDefault="00037DC7">
      <w:pPr>
        <w:pStyle w:val="PR2"/>
        <w:tabs>
          <w:tab w:val="clear" w:pos="1440"/>
        </w:tabs>
        <w:ind w:left="1080" w:hanging="360"/>
      </w:pPr>
      <w:r>
        <w:t>Distribution Box Connector:  Junction box interface for conversion from conduit and wire system to modular wire system shall be included for each circuit.</w:t>
      </w:r>
    </w:p>
    <w:p w14:paraId="09CC267D" w14:textId="77777777" w:rsidR="00037DC7" w:rsidRDefault="00037DC7">
      <w:pPr>
        <w:pStyle w:val="PR1"/>
        <w:tabs>
          <w:tab w:val="clear" w:pos="864"/>
        </w:tabs>
        <w:spacing w:before="0"/>
        <w:ind w:left="720" w:hanging="540"/>
      </w:pPr>
      <w:r>
        <w:lastRenderedPageBreak/>
        <w:t>Extender Cables:  Match all system requirements in 2.02(A) and furnish as required to provide a complete system.</w:t>
      </w:r>
    </w:p>
    <w:p w14:paraId="77ED4DE4" w14:textId="77777777" w:rsidR="00037DC7" w:rsidRDefault="00037DC7">
      <w:pPr>
        <w:pStyle w:val="CMT"/>
        <w:suppressAutoHyphens w:val="0"/>
      </w:pPr>
      <w:r>
        <w:rPr>
          <w:b/>
        </w:rPr>
        <w:t>If reasonable, delete Full-Length Section's articles specifying finishes and include finishes under material in "Materials" Article or with product in "Products" Article.  Examples of stream-lined articles specifying finishes follow.</w:t>
      </w:r>
    </w:p>
    <w:p w14:paraId="65D224C7" w14:textId="77777777" w:rsidR="00037DC7" w:rsidRDefault="00037DC7">
      <w:pPr>
        <w:pStyle w:val="CMT"/>
        <w:suppressAutoHyphens w:val="0"/>
      </w:pPr>
      <w:r>
        <w:rPr>
          <w:b/>
        </w:rPr>
        <w:t>Generally delete Full-Length Section's "Source Quality Control" Article unless it is absolutely necessary.</w:t>
      </w:r>
    </w:p>
    <w:p w14:paraId="49D9D75C" w14:textId="77777777" w:rsidR="00037DC7" w:rsidRDefault="00037DC7">
      <w:pPr>
        <w:pStyle w:val="PRT"/>
        <w:suppressAutoHyphens w:val="0"/>
        <w:spacing w:before="240"/>
      </w:pPr>
      <w:r>
        <w:t>EXECUTION</w:t>
      </w:r>
    </w:p>
    <w:p w14:paraId="4527C1EF" w14:textId="77777777" w:rsidR="00037DC7" w:rsidRDefault="00037DC7">
      <w:pPr>
        <w:pStyle w:val="CMT"/>
        <w:tabs>
          <w:tab w:val="left" w:pos="720"/>
        </w:tabs>
        <w:ind w:left="720" w:hanging="720"/>
      </w:pPr>
      <w:r>
        <w:t>Generally, delete Full-Length Section's "Examination" and "Preparation" articles.  If necessary, include examination and preparation requirements in simplified paragraphs in the "Installation" or "Application" Article.  Only include examination and preparation requirements that are not established in Division 1.</w:t>
      </w:r>
    </w:p>
    <w:p w14:paraId="2147BBAD" w14:textId="77777777" w:rsidR="00037DC7" w:rsidRDefault="00037DC7">
      <w:pPr>
        <w:pStyle w:val="ART"/>
        <w:tabs>
          <w:tab w:val="clear" w:pos="864"/>
          <w:tab w:val="left" w:pos="720"/>
        </w:tabs>
        <w:spacing w:before="240"/>
        <w:ind w:left="720" w:hanging="720"/>
      </w:pPr>
      <w:r>
        <w:t xml:space="preserve">INSTALLATION </w:t>
      </w:r>
    </w:p>
    <w:p w14:paraId="57F7AB1F" w14:textId="77777777" w:rsidR="00037DC7" w:rsidRDefault="00037DC7">
      <w:pPr>
        <w:pStyle w:val="CMT"/>
        <w:ind w:left="720" w:hanging="540"/>
      </w:pPr>
      <w:r>
        <w:rPr>
          <w:b/>
        </w:rPr>
        <w:t>Eliminate catch-all references to manufacturer's written instructions, this requirement is established in Division 1.  Eliminate restatements of typical manufacturer's installation instructions or requirements established by reference standards.</w:t>
      </w:r>
    </w:p>
    <w:p w14:paraId="536CA4D8" w14:textId="77777777" w:rsidR="00037DC7" w:rsidRDefault="00037DC7">
      <w:pPr>
        <w:pStyle w:val="CMT"/>
        <w:ind w:left="720" w:hanging="540"/>
      </w:pPr>
      <w:r>
        <w:rPr>
          <w:b/>
        </w:rPr>
        <w:t>Delete Full-Length Section's "Installation (Erection) Tolerances" Article.  Incorporate necessary installation tolerances in a simplified paragraph at the end of the "Installation" or "Application" Article.</w:t>
      </w:r>
    </w:p>
    <w:p w14:paraId="09FCD17B" w14:textId="77777777" w:rsidR="00037DC7" w:rsidRDefault="00037DC7">
      <w:pPr>
        <w:pStyle w:val="CMT"/>
        <w:ind w:left="720" w:hanging="540"/>
      </w:pPr>
      <w:r>
        <w:t>Retain this Article only if field testing is standard procedure for the particular product or assembly.</w:t>
      </w:r>
    </w:p>
    <w:p w14:paraId="42FD1B73" w14:textId="77777777" w:rsidR="00037DC7" w:rsidRDefault="00037DC7">
      <w:pPr>
        <w:pStyle w:val="PR1"/>
        <w:tabs>
          <w:tab w:val="clear" w:pos="864"/>
        </w:tabs>
        <w:spacing w:before="0"/>
        <w:ind w:left="720" w:hanging="540"/>
      </w:pPr>
      <w:r>
        <w:t>Install modular wiring system from homerun junction box to each fixture as indicated on the approved modular wiring shop drawings.</w:t>
      </w:r>
    </w:p>
    <w:p w14:paraId="0312D45C" w14:textId="77777777" w:rsidR="00037DC7" w:rsidRDefault="00037DC7">
      <w:pPr>
        <w:pStyle w:val="PR2"/>
        <w:tabs>
          <w:tab w:val="clear" w:pos="1440"/>
        </w:tabs>
        <w:ind w:left="1080" w:hanging="360"/>
      </w:pPr>
      <w:r>
        <w:t>Install Homerun junction box at first fixture in each circuit.</w:t>
      </w:r>
    </w:p>
    <w:p w14:paraId="04698F23" w14:textId="4860BF93" w:rsidR="00037DC7" w:rsidRDefault="00037DC7">
      <w:pPr>
        <w:pStyle w:val="PR2"/>
        <w:tabs>
          <w:tab w:val="clear" w:pos="1440"/>
        </w:tabs>
        <w:ind w:left="1080" w:hanging="360"/>
      </w:pPr>
      <w:r>
        <w:t>Extend EMT</w:t>
      </w:r>
      <w:r w:rsidR="005431D5">
        <w:t xml:space="preserve"> or MC Cable</w:t>
      </w:r>
      <w:r>
        <w:t xml:space="preserve"> and branch circuit wiring from panel board to Homerun junction box.</w:t>
      </w:r>
    </w:p>
    <w:p w14:paraId="60A4F0A8" w14:textId="77777777" w:rsidR="00037DC7" w:rsidRDefault="00037DC7">
      <w:pPr>
        <w:pStyle w:val="PR2"/>
        <w:tabs>
          <w:tab w:val="clear" w:pos="1440"/>
        </w:tabs>
        <w:ind w:left="1080" w:hanging="360"/>
      </w:pPr>
      <w:r>
        <w:t>Use Distribution Box Connector at Homerun junction box to begin modular wiring system.</w:t>
      </w:r>
    </w:p>
    <w:p w14:paraId="32B13DAE" w14:textId="77777777" w:rsidR="00037DC7" w:rsidRDefault="00426FB4">
      <w:pPr>
        <w:pStyle w:val="PR1"/>
        <w:tabs>
          <w:tab w:val="clear" w:pos="864"/>
        </w:tabs>
        <w:spacing w:before="0"/>
        <w:ind w:left="720" w:hanging="540"/>
      </w:pPr>
      <w:r>
        <w:br w:type="page"/>
      </w:r>
      <w:r w:rsidR="00037DC7">
        <w:lastRenderedPageBreak/>
        <w:t>Support Modular Wiring System.</w:t>
      </w:r>
    </w:p>
    <w:p w14:paraId="549812E7" w14:textId="77777777" w:rsidR="00037DC7" w:rsidRDefault="00037DC7">
      <w:pPr>
        <w:pStyle w:val="PR2"/>
        <w:tabs>
          <w:tab w:val="clear" w:pos="1440"/>
        </w:tabs>
        <w:ind w:left="1080" w:hanging="360"/>
      </w:pPr>
      <w:r>
        <w:t>Provide suitable means for fastening modular wire system to structural support members.</w:t>
      </w:r>
    </w:p>
    <w:p w14:paraId="691A07D3" w14:textId="77777777" w:rsidR="00514ADA" w:rsidRDefault="00514ADA">
      <w:pPr>
        <w:pStyle w:val="PR3"/>
        <w:tabs>
          <w:tab w:val="clear" w:pos="2016"/>
        </w:tabs>
        <w:ind w:left="1440" w:hanging="360"/>
      </w:pPr>
      <w:r>
        <w:t>Erico Caddy Cable Snap Clips, or equal, shall be provided as the primary support and fastening of the modular wiring system to the joist system.  Snap Clips shall be sized appropriately for the diameter of the cable that is to be supported.</w:t>
      </w:r>
    </w:p>
    <w:p w14:paraId="26AB16AD" w14:textId="77777777" w:rsidR="00514ADA" w:rsidRDefault="00514ADA">
      <w:pPr>
        <w:pStyle w:val="PR3"/>
        <w:tabs>
          <w:tab w:val="clear" w:pos="2016"/>
        </w:tabs>
        <w:ind w:left="1440" w:hanging="360"/>
      </w:pPr>
      <w:r>
        <w:t>A zip-locking type tie-strap may be used if approved by local code officials and UL-listed for this use.</w:t>
      </w:r>
    </w:p>
    <w:p w14:paraId="0C91A957" w14:textId="0129F846" w:rsidR="00037DC7" w:rsidRDefault="00037DC7">
      <w:pPr>
        <w:pStyle w:val="PR2"/>
        <w:tabs>
          <w:tab w:val="clear" w:pos="1440"/>
        </w:tabs>
        <w:ind w:left="1080" w:hanging="360"/>
      </w:pPr>
      <w:r>
        <w:t>Install supports every 6-feet for straight runs.</w:t>
      </w:r>
      <w:r w:rsidR="00C3391A">
        <w:t xml:space="preserve"> Contractor shall support MC Cable as need</w:t>
      </w:r>
      <w:r w:rsidR="00F24AF5">
        <w:t>ed</w:t>
      </w:r>
      <w:r w:rsidR="00C3391A">
        <w:t xml:space="preserve"> to avoid cables sagging.</w:t>
      </w:r>
    </w:p>
    <w:p w14:paraId="4B1A34D0" w14:textId="77777777" w:rsidR="00037DC7" w:rsidRDefault="00037DC7">
      <w:pPr>
        <w:pStyle w:val="PR2"/>
        <w:tabs>
          <w:tab w:val="clear" w:pos="1440"/>
        </w:tabs>
        <w:ind w:left="1080" w:hanging="360"/>
      </w:pPr>
      <w:r>
        <w:t>Install supports within 12-inches of a change in direction or termination.</w:t>
      </w:r>
    </w:p>
    <w:p w14:paraId="4768F0F8" w14:textId="77777777" w:rsidR="00037DC7" w:rsidRDefault="00037DC7">
      <w:pPr>
        <w:pStyle w:val="PR2"/>
        <w:tabs>
          <w:tab w:val="clear" w:pos="1440"/>
        </w:tabs>
        <w:ind w:left="1080" w:hanging="360"/>
      </w:pPr>
      <w:r>
        <w:t>Modular wiring shall not be permitted to “free-span” from joist-to-joist.</w:t>
      </w:r>
    </w:p>
    <w:p w14:paraId="1FF13908" w14:textId="77777777" w:rsidR="00037DC7" w:rsidRDefault="00037DC7">
      <w:pPr>
        <w:pStyle w:val="PR1"/>
        <w:tabs>
          <w:tab w:val="clear" w:pos="864"/>
        </w:tabs>
        <w:spacing w:before="0"/>
        <w:ind w:left="720" w:hanging="540"/>
      </w:pPr>
      <w:r>
        <w:t xml:space="preserve">Modular Wiring System shall not be permitted to be used in the </w:t>
      </w:r>
      <w:smartTag w:uri="urn:schemas-microsoft-com:office:smarttags" w:element="place">
        <w:smartTag w:uri="urn:schemas-microsoft-com:office:smarttags" w:element="PlaceType">
          <w:r>
            <w:t>Garden</w:t>
          </w:r>
        </w:smartTag>
        <w:r>
          <w:t xml:space="preserve"> </w:t>
        </w:r>
        <w:smartTag w:uri="urn:schemas-microsoft-com:office:smarttags" w:element="PlaceType">
          <w:r>
            <w:t>Center</w:t>
          </w:r>
        </w:smartTag>
      </w:smartTag>
      <w:r>
        <w:t>, Greenhouse, Shade Structure, Canopy Areas, or any Other outdoor area.</w:t>
      </w:r>
    </w:p>
    <w:p w14:paraId="0425A0B5" w14:textId="77777777" w:rsidR="00037DC7" w:rsidRDefault="00037DC7">
      <w:pPr>
        <w:pStyle w:val="PR1"/>
        <w:tabs>
          <w:tab w:val="clear" w:pos="864"/>
        </w:tabs>
        <w:spacing w:before="0"/>
        <w:ind w:left="720" w:hanging="540"/>
      </w:pPr>
      <w:r>
        <w:t>Provide red-lined as-built shop drawings to the Owner.</w:t>
      </w:r>
    </w:p>
    <w:p w14:paraId="3292E718" w14:textId="77777777" w:rsidR="00037DC7" w:rsidRDefault="00037DC7">
      <w:pPr>
        <w:pStyle w:val="EOS"/>
        <w:suppressAutoHyphens w:val="0"/>
        <w:spacing w:before="240"/>
        <w:jc w:val="center"/>
      </w:pPr>
      <w:r>
        <w:t>END OF SECTION</w:t>
      </w:r>
    </w:p>
    <w:p w14:paraId="48B8450E" w14:textId="77777777" w:rsidR="00037DC7" w:rsidRDefault="00037DC7">
      <w:pPr>
        <w:pStyle w:val="CMT"/>
      </w:pPr>
      <w:r>
        <w:rPr>
          <w:b/>
        </w:rPr>
        <w:t>Delete Full-Length Section's "Adjusting and Cleaning" and "Protection" articles.  Incorporate specific necessary requirements in simplified paragraphs at the end of the "Installation" or "Application" Article.</w:t>
      </w:r>
    </w:p>
    <w:p w14:paraId="603E12E9" w14:textId="77777777" w:rsidR="00037DC7" w:rsidRDefault="00037DC7">
      <w:pPr>
        <w:pStyle w:val="CMT"/>
      </w:pPr>
      <w:r>
        <w:rPr>
          <w:b/>
        </w:rPr>
        <w:t>Generally, delete Full-Length Section's schedule at the end of Part 3 and insert product information in Part 2.</w:t>
      </w:r>
    </w:p>
    <w:sectPr w:rsidR="00037DC7" w:rsidSect="00A44A7F">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2191" w14:textId="77777777" w:rsidR="00A1731F" w:rsidRDefault="00A1731F">
      <w:r>
        <w:separator/>
      </w:r>
    </w:p>
  </w:endnote>
  <w:endnote w:type="continuationSeparator" w:id="0">
    <w:p w14:paraId="3F48A3CC" w14:textId="77777777" w:rsidR="00A1731F" w:rsidRDefault="00A1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C8F1" w14:textId="77777777" w:rsidR="007751C9" w:rsidRDefault="00775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FD77" w14:textId="785E1E8F" w:rsidR="00037DC7" w:rsidRDefault="00037DC7">
    <w:pPr>
      <w:pStyle w:val="FTR"/>
      <w:tabs>
        <w:tab w:val="center" w:pos="4680"/>
      </w:tabs>
      <w:rPr>
        <w:b/>
      </w:rPr>
    </w:pPr>
    <w:r>
      <w:rPr>
        <w:b/>
      </w:rPr>
      <w:t>MODULAR WIRING SYSTEM</w:t>
    </w:r>
    <w:r>
      <w:tab/>
    </w:r>
    <w:r>
      <w:tab/>
    </w:r>
    <w:r>
      <w:rPr>
        <w:b/>
      </w:rPr>
      <w:t>16515-</w:t>
    </w:r>
    <w:r w:rsidR="009311D9">
      <w:rPr>
        <w:b/>
      </w:rPr>
      <w:fldChar w:fldCharType="begin"/>
    </w:r>
    <w:r>
      <w:rPr>
        <w:b/>
      </w:rPr>
      <w:instrText xml:space="preserve"> PAGE  \* MERGEFORMAT </w:instrText>
    </w:r>
    <w:r w:rsidR="009311D9">
      <w:rPr>
        <w:b/>
      </w:rPr>
      <w:fldChar w:fldCharType="separate"/>
    </w:r>
    <w:r w:rsidR="00155425">
      <w:rPr>
        <w:b/>
        <w:noProof/>
      </w:rPr>
      <w:t>1</w:t>
    </w:r>
    <w:r w:rsidR="009311D9">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E364" w14:textId="77777777" w:rsidR="007751C9" w:rsidRDefault="00775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1E8B3" w14:textId="77777777" w:rsidR="00A1731F" w:rsidRDefault="00A1731F">
      <w:r>
        <w:separator/>
      </w:r>
    </w:p>
  </w:footnote>
  <w:footnote w:type="continuationSeparator" w:id="0">
    <w:p w14:paraId="71FBC9DA" w14:textId="77777777" w:rsidR="00A1731F" w:rsidRDefault="00A1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A0A4" w14:textId="77777777" w:rsidR="007751C9" w:rsidRDefault="00775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0345" w14:textId="2EC9A6A7" w:rsidR="00037DC7" w:rsidRDefault="00037DC7">
    <w:pPr>
      <w:pStyle w:val="HDR"/>
      <w:rPr>
        <w:b/>
      </w:rPr>
    </w:pPr>
    <w:r>
      <w:rPr>
        <w:b/>
      </w:rPr>
      <w:t xml:space="preserve">LOWE'S OF </w:t>
    </w:r>
    <w:r w:rsidR="007751C9">
      <w:rPr>
        <w:b/>
      </w:rPr>
      <w:t>WESTIELD, FL.</w:t>
    </w:r>
    <w:r>
      <w:tab/>
    </w:r>
    <w:r>
      <w:tab/>
    </w:r>
    <w:r w:rsidR="00213482">
      <w:rPr>
        <w:b/>
      </w:rPr>
      <w:t>0</w:t>
    </w:r>
    <w:r w:rsidR="00653231">
      <w:rPr>
        <w:b/>
      </w:rPr>
      <w:t>1/201</w:t>
    </w:r>
    <w:r w:rsidR="00213482">
      <w:rPr>
        <w:b/>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752" w14:textId="77777777" w:rsidR="007751C9" w:rsidRDefault="00775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A8424C8"/>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523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7F"/>
    <w:rsid w:val="000114AC"/>
    <w:rsid w:val="000236E7"/>
    <w:rsid w:val="00037DC7"/>
    <w:rsid w:val="00052C45"/>
    <w:rsid w:val="00075067"/>
    <w:rsid w:val="00080190"/>
    <w:rsid w:val="000909DB"/>
    <w:rsid w:val="000A6B82"/>
    <w:rsid w:val="000D37F2"/>
    <w:rsid w:val="00155425"/>
    <w:rsid w:val="00177008"/>
    <w:rsid w:val="001A3ABD"/>
    <w:rsid w:val="001B1DFB"/>
    <w:rsid w:val="001F7CDC"/>
    <w:rsid w:val="0020509A"/>
    <w:rsid w:val="00213482"/>
    <w:rsid w:val="00266171"/>
    <w:rsid w:val="002733FF"/>
    <w:rsid w:val="002A631D"/>
    <w:rsid w:val="002F208E"/>
    <w:rsid w:val="00320369"/>
    <w:rsid w:val="00322F1C"/>
    <w:rsid w:val="00330448"/>
    <w:rsid w:val="00342F1E"/>
    <w:rsid w:val="00364798"/>
    <w:rsid w:val="00376F0C"/>
    <w:rsid w:val="0039513A"/>
    <w:rsid w:val="003A7687"/>
    <w:rsid w:val="003B7068"/>
    <w:rsid w:val="003E0A7C"/>
    <w:rsid w:val="003E1ED1"/>
    <w:rsid w:val="00426FB4"/>
    <w:rsid w:val="004C10E5"/>
    <w:rsid w:val="004D797C"/>
    <w:rsid w:val="00514ADA"/>
    <w:rsid w:val="005169FB"/>
    <w:rsid w:val="005416A7"/>
    <w:rsid w:val="005423C3"/>
    <w:rsid w:val="005431D5"/>
    <w:rsid w:val="00565441"/>
    <w:rsid w:val="00592976"/>
    <w:rsid w:val="005A2694"/>
    <w:rsid w:val="005B0BB4"/>
    <w:rsid w:val="005E7217"/>
    <w:rsid w:val="005F1F30"/>
    <w:rsid w:val="00653231"/>
    <w:rsid w:val="006572F7"/>
    <w:rsid w:val="00660CB8"/>
    <w:rsid w:val="006A6D7E"/>
    <w:rsid w:val="006F3F1C"/>
    <w:rsid w:val="00746E77"/>
    <w:rsid w:val="007751C9"/>
    <w:rsid w:val="0078224A"/>
    <w:rsid w:val="007A6F11"/>
    <w:rsid w:val="007B7F77"/>
    <w:rsid w:val="007C4224"/>
    <w:rsid w:val="00803E61"/>
    <w:rsid w:val="00811E25"/>
    <w:rsid w:val="00814840"/>
    <w:rsid w:val="008617F7"/>
    <w:rsid w:val="008734E1"/>
    <w:rsid w:val="0088114D"/>
    <w:rsid w:val="0089529A"/>
    <w:rsid w:val="008C7E37"/>
    <w:rsid w:val="00911770"/>
    <w:rsid w:val="0091285C"/>
    <w:rsid w:val="009311D9"/>
    <w:rsid w:val="009876C8"/>
    <w:rsid w:val="009A249B"/>
    <w:rsid w:val="009B7C95"/>
    <w:rsid w:val="009C6848"/>
    <w:rsid w:val="00A1731F"/>
    <w:rsid w:val="00A44A7F"/>
    <w:rsid w:val="00A52F4E"/>
    <w:rsid w:val="00AD2B4B"/>
    <w:rsid w:val="00AD5715"/>
    <w:rsid w:val="00AE5730"/>
    <w:rsid w:val="00B0785E"/>
    <w:rsid w:val="00B252B0"/>
    <w:rsid w:val="00B539B6"/>
    <w:rsid w:val="00B649BC"/>
    <w:rsid w:val="00B815BE"/>
    <w:rsid w:val="00BC34B7"/>
    <w:rsid w:val="00C3391A"/>
    <w:rsid w:val="00C428B2"/>
    <w:rsid w:val="00C4649D"/>
    <w:rsid w:val="00C66A74"/>
    <w:rsid w:val="00C913E2"/>
    <w:rsid w:val="00CD79AB"/>
    <w:rsid w:val="00D02D0C"/>
    <w:rsid w:val="00D20420"/>
    <w:rsid w:val="00D33250"/>
    <w:rsid w:val="00D62CCF"/>
    <w:rsid w:val="00D80BF6"/>
    <w:rsid w:val="00D82D61"/>
    <w:rsid w:val="00D9422F"/>
    <w:rsid w:val="00DA04B6"/>
    <w:rsid w:val="00DA685F"/>
    <w:rsid w:val="00E03A94"/>
    <w:rsid w:val="00E7632B"/>
    <w:rsid w:val="00EA1A4B"/>
    <w:rsid w:val="00EB5DD8"/>
    <w:rsid w:val="00EC45E8"/>
    <w:rsid w:val="00EF5D31"/>
    <w:rsid w:val="00F24AF5"/>
    <w:rsid w:val="00F341AB"/>
    <w:rsid w:val="00F37E48"/>
    <w:rsid w:val="00F85A19"/>
    <w:rsid w:val="00FB59FD"/>
    <w:rsid w:val="00FC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70844576"/>
  <w15:docId w15:val="{2BD889C8-2DE3-468D-AEE0-7362CEF6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B4B"/>
  </w:style>
  <w:style w:type="paragraph" w:styleId="Heading1">
    <w:name w:val="heading 1"/>
    <w:basedOn w:val="Normal"/>
    <w:next w:val="Normal"/>
    <w:qFormat/>
    <w:rsid w:val="00AD2B4B"/>
    <w:pPr>
      <w:keepNext/>
      <w:outlineLvl w:val="0"/>
    </w:pPr>
    <w:rPr>
      <w:rFonts w:eastAsia="Arial Unicode M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AD2B4B"/>
    <w:pPr>
      <w:tabs>
        <w:tab w:val="center" w:pos="4608"/>
        <w:tab w:val="right" w:pos="9360"/>
      </w:tabs>
      <w:suppressAutoHyphens/>
      <w:jc w:val="both"/>
    </w:pPr>
  </w:style>
  <w:style w:type="paragraph" w:customStyle="1" w:styleId="FTR">
    <w:name w:val="FTR"/>
    <w:basedOn w:val="Normal"/>
    <w:rsid w:val="00AD2B4B"/>
    <w:pPr>
      <w:tabs>
        <w:tab w:val="right" w:pos="9360"/>
      </w:tabs>
      <w:suppressAutoHyphens/>
      <w:jc w:val="both"/>
    </w:pPr>
  </w:style>
  <w:style w:type="paragraph" w:customStyle="1" w:styleId="SCT">
    <w:name w:val="SCT"/>
    <w:basedOn w:val="Normal"/>
    <w:next w:val="PRT"/>
    <w:rsid w:val="00AD2B4B"/>
    <w:pPr>
      <w:suppressAutoHyphens/>
      <w:spacing w:before="240"/>
      <w:jc w:val="both"/>
    </w:pPr>
  </w:style>
  <w:style w:type="paragraph" w:customStyle="1" w:styleId="PRT">
    <w:name w:val="PRT"/>
    <w:basedOn w:val="Normal"/>
    <w:next w:val="SCT"/>
    <w:rsid w:val="00AD2B4B"/>
    <w:pPr>
      <w:numPr>
        <w:numId w:val="1"/>
      </w:numPr>
      <w:suppressAutoHyphens/>
      <w:spacing w:before="480"/>
      <w:jc w:val="both"/>
    </w:pPr>
  </w:style>
  <w:style w:type="paragraph" w:customStyle="1" w:styleId="SUT">
    <w:name w:val="SUT"/>
    <w:basedOn w:val="Normal"/>
    <w:next w:val="PR1"/>
    <w:rsid w:val="00AD2B4B"/>
    <w:pPr>
      <w:numPr>
        <w:ilvl w:val="1"/>
        <w:numId w:val="1"/>
      </w:numPr>
      <w:suppressAutoHyphens/>
      <w:spacing w:before="240"/>
      <w:jc w:val="both"/>
    </w:pPr>
  </w:style>
  <w:style w:type="paragraph" w:customStyle="1" w:styleId="DST">
    <w:name w:val="DST"/>
    <w:basedOn w:val="Normal"/>
    <w:next w:val="PR1"/>
    <w:rsid w:val="00AD2B4B"/>
    <w:pPr>
      <w:numPr>
        <w:ilvl w:val="2"/>
        <w:numId w:val="1"/>
      </w:numPr>
      <w:suppressAutoHyphens/>
      <w:spacing w:before="240"/>
      <w:jc w:val="both"/>
    </w:pPr>
  </w:style>
  <w:style w:type="paragraph" w:customStyle="1" w:styleId="ART">
    <w:name w:val="ART"/>
    <w:basedOn w:val="Normal"/>
    <w:next w:val="PR1"/>
    <w:rsid w:val="00AD2B4B"/>
    <w:pPr>
      <w:numPr>
        <w:ilvl w:val="3"/>
        <w:numId w:val="1"/>
      </w:numPr>
      <w:suppressAutoHyphens/>
      <w:spacing w:before="480"/>
      <w:jc w:val="both"/>
    </w:pPr>
  </w:style>
  <w:style w:type="paragraph" w:customStyle="1" w:styleId="PR1">
    <w:name w:val="PR1"/>
    <w:basedOn w:val="Normal"/>
    <w:rsid w:val="00AD2B4B"/>
    <w:pPr>
      <w:numPr>
        <w:ilvl w:val="4"/>
        <w:numId w:val="1"/>
      </w:numPr>
      <w:suppressAutoHyphens/>
      <w:spacing w:before="240"/>
      <w:jc w:val="both"/>
    </w:pPr>
  </w:style>
  <w:style w:type="paragraph" w:customStyle="1" w:styleId="PR2">
    <w:name w:val="PR2"/>
    <w:basedOn w:val="Normal"/>
    <w:rsid w:val="00AD2B4B"/>
    <w:pPr>
      <w:numPr>
        <w:ilvl w:val="5"/>
        <w:numId w:val="1"/>
      </w:numPr>
      <w:suppressAutoHyphens/>
      <w:jc w:val="both"/>
    </w:pPr>
  </w:style>
  <w:style w:type="paragraph" w:customStyle="1" w:styleId="PR3">
    <w:name w:val="PR3"/>
    <w:basedOn w:val="Normal"/>
    <w:rsid w:val="00AD2B4B"/>
    <w:pPr>
      <w:numPr>
        <w:ilvl w:val="6"/>
        <w:numId w:val="1"/>
      </w:numPr>
      <w:suppressAutoHyphens/>
      <w:jc w:val="both"/>
    </w:pPr>
  </w:style>
  <w:style w:type="paragraph" w:customStyle="1" w:styleId="PR4">
    <w:name w:val="PR4"/>
    <w:basedOn w:val="Normal"/>
    <w:rsid w:val="00AD2B4B"/>
    <w:pPr>
      <w:numPr>
        <w:ilvl w:val="7"/>
        <w:numId w:val="1"/>
      </w:numPr>
      <w:suppressAutoHyphens/>
      <w:jc w:val="both"/>
    </w:pPr>
  </w:style>
  <w:style w:type="paragraph" w:customStyle="1" w:styleId="PR5">
    <w:name w:val="PR5"/>
    <w:basedOn w:val="Normal"/>
    <w:rsid w:val="00AD2B4B"/>
    <w:pPr>
      <w:numPr>
        <w:ilvl w:val="8"/>
        <w:numId w:val="1"/>
      </w:numPr>
      <w:suppressAutoHyphens/>
      <w:jc w:val="both"/>
    </w:pPr>
  </w:style>
  <w:style w:type="paragraph" w:customStyle="1" w:styleId="TB1">
    <w:name w:val="TB1"/>
    <w:basedOn w:val="Normal"/>
    <w:next w:val="PR1"/>
    <w:rsid w:val="00AD2B4B"/>
    <w:pPr>
      <w:suppressAutoHyphens/>
      <w:spacing w:before="240"/>
      <w:ind w:left="288"/>
      <w:jc w:val="both"/>
    </w:pPr>
  </w:style>
  <w:style w:type="paragraph" w:customStyle="1" w:styleId="TB2">
    <w:name w:val="TB2"/>
    <w:basedOn w:val="Normal"/>
    <w:next w:val="PR2"/>
    <w:rsid w:val="00AD2B4B"/>
    <w:pPr>
      <w:suppressAutoHyphens/>
      <w:spacing w:before="240"/>
      <w:ind w:left="864"/>
      <w:jc w:val="both"/>
    </w:pPr>
  </w:style>
  <w:style w:type="paragraph" w:customStyle="1" w:styleId="TB3">
    <w:name w:val="TB3"/>
    <w:basedOn w:val="Normal"/>
    <w:next w:val="PR3"/>
    <w:rsid w:val="00AD2B4B"/>
    <w:pPr>
      <w:suppressAutoHyphens/>
      <w:spacing w:before="240"/>
      <w:ind w:left="1440"/>
      <w:jc w:val="both"/>
    </w:pPr>
  </w:style>
  <w:style w:type="paragraph" w:customStyle="1" w:styleId="TB4">
    <w:name w:val="TB4"/>
    <w:basedOn w:val="Normal"/>
    <w:next w:val="PR4"/>
    <w:rsid w:val="00AD2B4B"/>
    <w:pPr>
      <w:suppressAutoHyphens/>
      <w:spacing w:before="240"/>
      <w:ind w:left="2016"/>
      <w:jc w:val="both"/>
    </w:pPr>
  </w:style>
  <w:style w:type="paragraph" w:customStyle="1" w:styleId="TB5">
    <w:name w:val="TB5"/>
    <w:basedOn w:val="Normal"/>
    <w:next w:val="PR5"/>
    <w:rsid w:val="00AD2B4B"/>
    <w:pPr>
      <w:suppressAutoHyphens/>
      <w:spacing w:before="240"/>
      <w:ind w:left="2592"/>
      <w:jc w:val="both"/>
    </w:pPr>
  </w:style>
  <w:style w:type="paragraph" w:customStyle="1" w:styleId="TCH">
    <w:name w:val="TCH"/>
    <w:basedOn w:val="Normal"/>
    <w:rsid w:val="00AD2B4B"/>
    <w:pPr>
      <w:suppressAutoHyphens/>
    </w:pPr>
  </w:style>
  <w:style w:type="paragraph" w:customStyle="1" w:styleId="TCE">
    <w:name w:val="TCE"/>
    <w:basedOn w:val="Normal"/>
    <w:rsid w:val="00AD2B4B"/>
    <w:pPr>
      <w:suppressAutoHyphens/>
      <w:ind w:left="144" w:hanging="144"/>
    </w:pPr>
  </w:style>
  <w:style w:type="paragraph" w:customStyle="1" w:styleId="EOS">
    <w:name w:val="EOS"/>
    <w:basedOn w:val="Normal"/>
    <w:rsid w:val="00AD2B4B"/>
    <w:pPr>
      <w:suppressAutoHyphens/>
      <w:spacing w:before="480"/>
      <w:jc w:val="both"/>
    </w:pPr>
  </w:style>
  <w:style w:type="paragraph" w:customStyle="1" w:styleId="CMT">
    <w:name w:val="CMT"/>
    <w:basedOn w:val="Normal"/>
    <w:rsid w:val="00AD2B4B"/>
    <w:pPr>
      <w:suppressAutoHyphens/>
      <w:spacing w:before="240"/>
      <w:jc w:val="both"/>
    </w:pPr>
    <w:rPr>
      <w:vanish/>
      <w:color w:val="0000FF"/>
    </w:rPr>
  </w:style>
  <w:style w:type="character" w:customStyle="1" w:styleId="SI">
    <w:name w:val="SI"/>
    <w:basedOn w:val="DefaultParagraphFont"/>
    <w:rsid w:val="00AD2B4B"/>
    <w:rPr>
      <w:color w:val="008080"/>
    </w:rPr>
  </w:style>
  <w:style w:type="character" w:customStyle="1" w:styleId="IP">
    <w:name w:val="IP"/>
    <w:basedOn w:val="DefaultParagraphFont"/>
    <w:rsid w:val="00AD2B4B"/>
    <w:rPr>
      <w:color w:val="FF0000"/>
    </w:rPr>
  </w:style>
  <w:style w:type="paragraph" w:styleId="Header">
    <w:name w:val="header"/>
    <w:basedOn w:val="Normal"/>
    <w:rsid w:val="00AD2B4B"/>
    <w:pPr>
      <w:tabs>
        <w:tab w:val="center" w:pos="4320"/>
        <w:tab w:val="right" w:pos="8640"/>
      </w:tabs>
    </w:pPr>
  </w:style>
  <w:style w:type="paragraph" w:styleId="Footer">
    <w:name w:val="footer"/>
    <w:basedOn w:val="Normal"/>
    <w:rsid w:val="00AD2B4B"/>
    <w:pPr>
      <w:tabs>
        <w:tab w:val="center" w:pos="4320"/>
        <w:tab w:val="right" w:pos="8640"/>
      </w:tabs>
    </w:pPr>
  </w:style>
  <w:style w:type="paragraph" w:styleId="Title">
    <w:name w:val="Title"/>
    <w:basedOn w:val="Normal"/>
    <w:qFormat/>
    <w:rsid w:val="00AD2B4B"/>
    <w:pPr>
      <w:jc w:val="center"/>
    </w:pPr>
    <w:rPr>
      <w:b/>
      <w:sz w:val="24"/>
      <w:u w:val="single"/>
    </w:rPr>
  </w:style>
  <w:style w:type="character" w:styleId="CommentReference">
    <w:name w:val="annotation reference"/>
    <w:basedOn w:val="DefaultParagraphFont"/>
    <w:semiHidden/>
    <w:unhideWhenUsed/>
    <w:rsid w:val="00D82D61"/>
    <w:rPr>
      <w:sz w:val="16"/>
      <w:szCs w:val="16"/>
    </w:rPr>
  </w:style>
  <w:style w:type="paragraph" w:styleId="CommentText">
    <w:name w:val="annotation text"/>
    <w:basedOn w:val="Normal"/>
    <w:link w:val="CommentTextChar"/>
    <w:semiHidden/>
    <w:unhideWhenUsed/>
    <w:rsid w:val="00D82D61"/>
  </w:style>
  <w:style w:type="character" w:customStyle="1" w:styleId="CommentTextChar">
    <w:name w:val="Comment Text Char"/>
    <w:basedOn w:val="DefaultParagraphFont"/>
    <w:link w:val="CommentText"/>
    <w:semiHidden/>
    <w:rsid w:val="00D82D61"/>
  </w:style>
  <w:style w:type="paragraph" w:styleId="CommentSubject">
    <w:name w:val="annotation subject"/>
    <w:basedOn w:val="CommentText"/>
    <w:next w:val="CommentText"/>
    <w:link w:val="CommentSubjectChar"/>
    <w:semiHidden/>
    <w:unhideWhenUsed/>
    <w:rsid w:val="00D82D61"/>
    <w:rPr>
      <w:b/>
      <w:bCs/>
    </w:rPr>
  </w:style>
  <w:style w:type="character" w:customStyle="1" w:styleId="CommentSubjectChar">
    <w:name w:val="Comment Subject Char"/>
    <w:basedOn w:val="CommentTextChar"/>
    <w:link w:val="CommentSubject"/>
    <w:semiHidden/>
    <w:rsid w:val="00D82D61"/>
    <w:rPr>
      <w:b/>
      <w:bCs/>
    </w:rPr>
  </w:style>
  <w:style w:type="paragraph" w:styleId="BalloonText">
    <w:name w:val="Balloon Text"/>
    <w:basedOn w:val="Normal"/>
    <w:link w:val="BalloonTextChar"/>
    <w:rsid w:val="00D82D61"/>
    <w:rPr>
      <w:rFonts w:ascii="Segoe UI" w:hAnsi="Segoe UI" w:cs="Segoe UI"/>
      <w:sz w:val="18"/>
      <w:szCs w:val="18"/>
    </w:rPr>
  </w:style>
  <w:style w:type="character" w:customStyle="1" w:styleId="BalloonTextChar">
    <w:name w:val="Balloon Text Char"/>
    <w:basedOn w:val="DefaultParagraphFont"/>
    <w:link w:val="BalloonText"/>
    <w:rsid w:val="00D82D61"/>
    <w:rPr>
      <w:rFonts w:ascii="Segoe UI" w:hAnsi="Segoe UI" w:cs="Segoe UI"/>
      <w:sz w:val="18"/>
      <w:szCs w:val="18"/>
    </w:rPr>
  </w:style>
  <w:style w:type="paragraph" w:styleId="Revision">
    <w:name w:val="Revision"/>
    <w:hidden/>
    <w:uiPriority w:val="99"/>
    <w:semiHidden/>
    <w:rsid w:val="0077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235EB067-F7EE-4250-81AD-78D92DDF5F51}"/>
</file>

<file path=customXml/itemProps2.xml><?xml version="1.0" encoding="utf-8"?>
<ds:datastoreItem xmlns:ds="http://schemas.openxmlformats.org/officeDocument/2006/customXml" ds:itemID="{37E0A6C1-D707-459D-8C81-0DE519E71D1B}"/>
</file>

<file path=customXml/itemProps3.xml><?xml version="1.0" encoding="utf-8"?>
<ds:datastoreItem xmlns:ds="http://schemas.openxmlformats.org/officeDocument/2006/customXml" ds:itemID="{10210F55-AD39-4AC4-9CB3-D7BDCFC7BC8A}"/>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8583</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SECTION 0 - 0</vt:lpstr>
    </vt:vector>
  </TitlesOfParts>
  <Company>ARCOM</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0 - 0</dc:title>
  <dc:subject>0</dc:subject>
  <dc:creator>ARCOM, Inc.</dc:creator>
  <cp:keywords>BAS-12345-MS80</cp:keywords>
  <cp:lastModifiedBy>Jimmy Myers</cp:lastModifiedBy>
  <cp:revision>3</cp:revision>
  <cp:lastPrinted>2004-11-01T13:52:00Z</cp:lastPrinted>
  <dcterms:created xsi:type="dcterms:W3CDTF">2019-01-21T15:46:00Z</dcterms:created>
  <dcterms:modified xsi:type="dcterms:W3CDTF">2025-04-14T14:37:00Z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