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F5F3" w14:textId="77777777" w:rsidR="005F74AA" w:rsidRDefault="005F74AA">
      <w:pPr>
        <w:pStyle w:val="CMT"/>
        <w:rPr>
          <w:b/>
          <w:sz w:val="20"/>
        </w:rPr>
      </w:pPr>
      <w:r>
        <w:rPr>
          <w:b/>
          <w:sz w:val="20"/>
        </w:rPr>
        <w:t>MASTERSPEC Short Form? Copyright 1999, The American Institute of Architects (AIA)</w:t>
      </w:r>
    </w:p>
    <w:p w14:paraId="500B2F50" w14:textId="77777777" w:rsidR="005F74AA" w:rsidRDefault="005F74AA">
      <w:pPr>
        <w:pStyle w:val="SCT"/>
        <w:spacing w:before="0"/>
        <w:rPr>
          <w:b/>
          <w:sz w:val="20"/>
        </w:rPr>
      </w:pPr>
      <w:r>
        <w:rPr>
          <w:b/>
          <w:sz w:val="20"/>
        </w:rPr>
        <w:t>SECTION 16511 - INTERIOR LIGHTING</w:t>
      </w:r>
    </w:p>
    <w:p w14:paraId="5822E734" w14:textId="77777777" w:rsidR="005F74AA" w:rsidRDefault="005F74AA">
      <w:pPr>
        <w:pStyle w:val="PRT"/>
        <w:rPr>
          <w:sz w:val="20"/>
        </w:rPr>
      </w:pPr>
      <w:r>
        <w:rPr>
          <w:sz w:val="20"/>
        </w:rPr>
        <w:t>GENERAL</w:t>
      </w:r>
    </w:p>
    <w:p w14:paraId="4E0C993F" w14:textId="77777777" w:rsidR="005F74AA" w:rsidRDefault="005F74AA">
      <w:pPr>
        <w:pStyle w:val="ART"/>
        <w:tabs>
          <w:tab w:val="clear" w:pos="864"/>
          <w:tab w:val="left" w:pos="720"/>
        </w:tabs>
        <w:ind w:left="720" w:hanging="720"/>
        <w:rPr>
          <w:sz w:val="20"/>
        </w:rPr>
      </w:pPr>
      <w:r>
        <w:rPr>
          <w:sz w:val="20"/>
        </w:rPr>
        <w:t>SUMMARY</w:t>
      </w:r>
    </w:p>
    <w:p w14:paraId="545FDA2E" w14:textId="77777777" w:rsidR="00325B6A" w:rsidRDefault="00325B6A" w:rsidP="00325B6A">
      <w:pPr>
        <w:pStyle w:val="PR1"/>
        <w:tabs>
          <w:tab w:val="clear" w:pos="864"/>
        </w:tabs>
        <w:spacing w:before="0"/>
        <w:ind w:left="720" w:hanging="540"/>
        <w:outlineLvl w:val="9"/>
        <w:rPr>
          <w:sz w:val="20"/>
        </w:rPr>
      </w:pPr>
      <w:r>
        <w:rPr>
          <w:sz w:val="20"/>
        </w:rPr>
        <w:t xml:space="preserve">This Section includes interior light fixtures.  The interior light fixtures </w:t>
      </w:r>
      <w:r w:rsidR="001949E9">
        <w:rPr>
          <w:sz w:val="20"/>
        </w:rPr>
        <w:t xml:space="preserve">are </w:t>
      </w:r>
      <w:r w:rsidR="0063795B">
        <w:rPr>
          <w:sz w:val="20"/>
        </w:rPr>
        <w:t xml:space="preserve">Owner furnished </w:t>
      </w:r>
      <w:r w:rsidR="001949E9">
        <w:rPr>
          <w:sz w:val="20"/>
        </w:rPr>
        <w:t xml:space="preserve">and </w:t>
      </w:r>
      <w:r w:rsidR="0063795B">
        <w:rPr>
          <w:sz w:val="20"/>
        </w:rPr>
        <w:t>the Lowe’s Construction Project Manager will obtain pricing and</w:t>
      </w:r>
      <w:r w:rsidR="00ED1D67">
        <w:rPr>
          <w:sz w:val="20"/>
        </w:rPr>
        <w:t xml:space="preserve"> </w:t>
      </w:r>
      <w:r w:rsidR="0063795B">
        <w:rPr>
          <w:sz w:val="20"/>
        </w:rPr>
        <w:t>is</w:t>
      </w:r>
      <w:r w:rsidR="00ED1D67">
        <w:rPr>
          <w:sz w:val="20"/>
        </w:rPr>
        <w:t>s</w:t>
      </w:r>
      <w:r w:rsidR="0063795B">
        <w:rPr>
          <w:sz w:val="20"/>
        </w:rPr>
        <w:t xml:space="preserve">ue purchase orders.  </w:t>
      </w:r>
      <w:r w:rsidR="00DB4CE0">
        <w:rPr>
          <w:sz w:val="20"/>
        </w:rPr>
        <w:t xml:space="preserve">The slotted angles for mounting fixture types “F1” and “F1-NL” are included with the Owner furnished lighting package.  Mounting Hardware is provided by the Contractor for these slotted angles.  </w:t>
      </w:r>
      <w:r>
        <w:rPr>
          <w:sz w:val="20"/>
        </w:rPr>
        <w:t>The Contractor is responsible for taking delivery of the lights, providing equipment to unload and store the lights, and protecting the lights until installed.  The Contractor shall coordinate delivery schedules with the supplier</w:t>
      </w:r>
      <w:r w:rsidR="0063795B">
        <w:rPr>
          <w:sz w:val="20"/>
        </w:rPr>
        <w:t>,</w:t>
      </w:r>
      <w:r>
        <w:rPr>
          <w:sz w:val="20"/>
        </w:rPr>
        <w:t xml:space="preserve"> or the supplier’s agent</w:t>
      </w:r>
      <w:r w:rsidR="0063795B">
        <w:rPr>
          <w:sz w:val="20"/>
        </w:rPr>
        <w:t>, or with the Lowe’s Construction Project Manager</w:t>
      </w:r>
      <w:r>
        <w:rPr>
          <w:sz w:val="20"/>
        </w:rPr>
        <w:t xml:space="preserve">.  The supplier will perform a quantity count and provide the number of fixtures based on this count.  Lowe’s will provide the drawings to the supplier.  The </w:t>
      </w:r>
      <w:r w:rsidR="0063795B">
        <w:rPr>
          <w:sz w:val="20"/>
        </w:rPr>
        <w:t xml:space="preserve">supplier </w:t>
      </w:r>
      <w:r>
        <w:rPr>
          <w:sz w:val="20"/>
        </w:rPr>
        <w:t>shall verify that the price is based on the correct plans according to the revision and issue dates</w:t>
      </w:r>
      <w:r w:rsidR="00122A99">
        <w:rPr>
          <w:sz w:val="20"/>
        </w:rPr>
        <w:t xml:space="preserve"> on the drawings</w:t>
      </w:r>
      <w:r w:rsidR="0063795B">
        <w:rPr>
          <w:sz w:val="20"/>
        </w:rPr>
        <w:t xml:space="preserve"> and indicate the latest drawing issue date or revision date on the quote.</w:t>
      </w:r>
      <w:r>
        <w:rPr>
          <w:sz w:val="20"/>
        </w:rPr>
        <w:t xml:space="preserve">  The contractor, by signing the delivery receipt, acknowledges all components are on site and in good order.  After signing the delivery receipt the contractor will be responsible for all broken components, missing parts, and/or shortages</w:t>
      </w:r>
      <w:r w:rsidR="001949E9">
        <w:rPr>
          <w:sz w:val="20"/>
        </w:rPr>
        <w:t xml:space="preserve"> not reported within 24 hours of delivery</w:t>
      </w:r>
      <w:r>
        <w:rPr>
          <w:sz w:val="20"/>
        </w:rPr>
        <w:t>.</w:t>
      </w:r>
    </w:p>
    <w:p w14:paraId="7C41FDCF" w14:textId="77777777" w:rsidR="00325B6A" w:rsidRDefault="00325B6A" w:rsidP="00325B6A">
      <w:pPr>
        <w:pStyle w:val="ART"/>
        <w:tabs>
          <w:tab w:val="clear" w:pos="864"/>
          <w:tab w:val="left" w:pos="720"/>
        </w:tabs>
        <w:ind w:left="720" w:hanging="720"/>
        <w:rPr>
          <w:sz w:val="20"/>
        </w:rPr>
      </w:pPr>
      <w:r>
        <w:rPr>
          <w:sz w:val="20"/>
        </w:rPr>
        <w:t>SUBMITTALS</w:t>
      </w:r>
    </w:p>
    <w:p w14:paraId="0AB2EC02" w14:textId="77777777" w:rsidR="00325B6A" w:rsidRDefault="00325B6A" w:rsidP="00325B6A">
      <w:pPr>
        <w:pStyle w:val="PR1"/>
        <w:tabs>
          <w:tab w:val="clear" w:pos="864"/>
        </w:tabs>
        <w:spacing w:before="0"/>
        <w:ind w:left="720" w:hanging="540"/>
        <w:outlineLvl w:val="9"/>
        <w:rPr>
          <w:sz w:val="20"/>
        </w:rPr>
      </w:pPr>
      <w:r>
        <w:rPr>
          <w:sz w:val="20"/>
        </w:rPr>
        <w:t>Only the fixtures that are not part of the National Account agreement between Lowe’s and the supplier and indicated in the lighting schedules need to be submitted for approval.  The supplier shall make this submittal with the Lowe’s engineer.  Any deviations from the specified fixtures will be replaced at no additional cost to Lowe’s.</w:t>
      </w:r>
    </w:p>
    <w:p w14:paraId="0D14BB4E" w14:textId="77777777" w:rsidR="005F74AA" w:rsidRDefault="005F74AA">
      <w:pPr>
        <w:pStyle w:val="ART"/>
        <w:tabs>
          <w:tab w:val="clear" w:pos="864"/>
          <w:tab w:val="left" w:pos="720"/>
        </w:tabs>
        <w:ind w:left="720" w:hanging="720"/>
        <w:rPr>
          <w:sz w:val="20"/>
        </w:rPr>
      </w:pPr>
      <w:r>
        <w:rPr>
          <w:sz w:val="20"/>
        </w:rPr>
        <w:t>QUALITY ASSURANCE</w:t>
      </w:r>
    </w:p>
    <w:p w14:paraId="6F626A1D" w14:textId="77777777" w:rsidR="005F74AA" w:rsidRDefault="005F74AA">
      <w:pPr>
        <w:pStyle w:val="PR1"/>
        <w:tabs>
          <w:tab w:val="clear" w:pos="864"/>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2D8DBF04" w14:textId="77777777" w:rsidR="005F74AA" w:rsidRDefault="005F74AA">
      <w:pPr>
        <w:pStyle w:val="PR1"/>
        <w:tabs>
          <w:tab w:val="clear" w:pos="864"/>
        </w:tabs>
        <w:spacing w:before="0"/>
        <w:ind w:left="720" w:hanging="540"/>
        <w:outlineLvl w:val="9"/>
        <w:rPr>
          <w:sz w:val="20"/>
        </w:rPr>
      </w:pPr>
      <w:r>
        <w:rPr>
          <w:sz w:val="20"/>
        </w:rPr>
        <w:t>Comply with NFPA 70.</w:t>
      </w:r>
    </w:p>
    <w:p w14:paraId="31E5C642" w14:textId="77777777" w:rsidR="005F74AA" w:rsidRDefault="005F74AA">
      <w:pPr>
        <w:pStyle w:val="ART"/>
        <w:tabs>
          <w:tab w:val="clear" w:pos="864"/>
          <w:tab w:val="left" w:pos="720"/>
        </w:tabs>
        <w:ind w:left="720" w:hanging="720"/>
        <w:rPr>
          <w:sz w:val="20"/>
        </w:rPr>
      </w:pPr>
      <w:r>
        <w:rPr>
          <w:sz w:val="20"/>
        </w:rPr>
        <w:t>COORDINATION</w:t>
      </w:r>
    </w:p>
    <w:p w14:paraId="56F3A898" w14:textId="77777777" w:rsidR="005F74AA" w:rsidRDefault="005F74AA">
      <w:pPr>
        <w:pStyle w:val="CMT"/>
        <w:ind w:left="720" w:hanging="540"/>
        <w:rPr>
          <w:sz w:val="20"/>
        </w:rPr>
      </w:pPr>
      <w:r>
        <w:rPr>
          <w:sz w:val="20"/>
        </w:rPr>
        <w:t>Retain this Article if Coordination Drawings are not required.</w:t>
      </w:r>
    </w:p>
    <w:p w14:paraId="5C97A828" w14:textId="77777777" w:rsidR="005F74AA" w:rsidRDefault="005F74AA">
      <w:pPr>
        <w:pStyle w:val="PR1"/>
        <w:tabs>
          <w:tab w:val="clear" w:pos="864"/>
        </w:tabs>
        <w:spacing w:before="0"/>
        <w:ind w:left="720" w:hanging="540"/>
        <w:outlineLvl w:val="9"/>
        <w:rPr>
          <w:sz w:val="20"/>
        </w:rPr>
      </w:pPr>
      <w:r>
        <w:rPr>
          <w:sz w:val="20"/>
        </w:rPr>
        <w:t>Fixtures, Mounting Hardware, and Trim:  Coordinate layout and installation of lighting fixtures with ceiling system and other construction.</w:t>
      </w:r>
    </w:p>
    <w:p w14:paraId="411AF7AC" w14:textId="77777777" w:rsidR="00C0225A" w:rsidRPr="00C0225A" w:rsidRDefault="00C0225A" w:rsidP="00C0225A">
      <w:pPr>
        <w:pStyle w:val="ART"/>
        <w:tabs>
          <w:tab w:val="clear" w:pos="864"/>
          <w:tab w:val="num" w:pos="720"/>
        </w:tabs>
        <w:ind w:left="720" w:hanging="720"/>
        <w:rPr>
          <w:sz w:val="20"/>
        </w:rPr>
      </w:pPr>
      <w:r w:rsidRPr="00C0225A">
        <w:rPr>
          <w:sz w:val="20"/>
        </w:rPr>
        <w:t>WARRANTY</w:t>
      </w:r>
    </w:p>
    <w:p w14:paraId="429C65F7" w14:textId="77777777" w:rsidR="00C0225A" w:rsidRPr="00C0225A" w:rsidRDefault="00C0225A" w:rsidP="00C0225A">
      <w:pPr>
        <w:pStyle w:val="PR1"/>
        <w:tabs>
          <w:tab w:val="clear" w:pos="864"/>
          <w:tab w:val="num" w:pos="720"/>
        </w:tabs>
        <w:spacing w:before="0"/>
        <w:ind w:left="720" w:hanging="540"/>
        <w:rPr>
          <w:sz w:val="20"/>
        </w:rPr>
      </w:pPr>
      <w:r w:rsidRPr="00C0225A">
        <w:rPr>
          <w:sz w:val="20"/>
        </w:rPr>
        <w:t>The Owner furnished lighting package provided by the Lowe’s national account lighting supplier includes a material warranty to Lowe’s.  The Electrical Subcontractor shall provide a one year labor warranty for replacing all burned out lamps, failed ballasts, and other warrantable parts, in the 1 year following the key turnover, and shall contact Lowe’s light fixture supplier for all necessary parts.</w:t>
      </w:r>
    </w:p>
    <w:p w14:paraId="05007E77" w14:textId="77777777" w:rsidR="005F74AA" w:rsidRDefault="005F74AA">
      <w:pPr>
        <w:pStyle w:val="PRT"/>
        <w:rPr>
          <w:sz w:val="20"/>
        </w:rPr>
      </w:pPr>
      <w:r>
        <w:rPr>
          <w:sz w:val="20"/>
        </w:rPr>
        <w:t>PRODUCTS</w:t>
      </w:r>
    </w:p>
    <w:p w14:paraId="7F004483" w14:textId="77777777" w:rsidR="005F74AA" w:rsidRDefault="005F74AA">
      <w:pPr>
        <w:pStyle w:val="ART"/>
        <w:tabs>
          <w:tab w:val="clear" w:pos="864"/>
          <w:tab w:val="left" w:pos="720"/>
        </w:tabs>
        <w:ind w:left="720" w:hanging="720"/>
        <w:rPr>
          <w:sz w:val="20"/>
        </w:rPr>
      </w:pPr>
      <w:r>
        <w:rPr>
          <w:sz w:val="20"/>
        </w:rPr>
        <w:t>MANUFACTURERS</w:t>
      </w:r>
    </w:p>
    <w:p w14:paraId="48515904" w14:textId="77777777" w:rsidR="005F74AA" w:rsidRDefault="005F74AA">
      <w:pPr>
        <w:pStyle w:val="CMT"/>
        <w:ind w:left="720" w:hanging="540"/>
        <w:rPr>
          <w:sz w:val="20"/>
        </w:rPr>
      </w:pPr>
      <w:r>
        <w:rPr>
          <w:sz w:val="20"/>
        </w:rPr>
        <w:t>See Editing Instruction No. 1 in the Evaluations for cautions about naming manufacturers and products.</w:t>
      </w:r>
    </w:p>
    <w:p w14:paraId="73D0B901" w14:textId="77777777" w:rsidR="005F74AA" w:rsidRDefault="005F74AA">
      <w:pPr>
        <w:pStyle w:val="PR1"/>
        <w:tabs>
          <w:tab w:val="clear" w:pos="864"/>
        </w:tabs>
        <w:spacing w:before="0"/>
        <w:ind w:left="720" w:hanging="540"/>
        <w:outlineLvl w:val="9"/>
        <w:rPr>
          <w:sz w:val="20"/>
        </w:rPr>
      </w:pPr>
      <w:r>
        <w:rPr>
          <w:sz w:val="20"/>
        </w:rPr>
        <w:t>In other Part 2 articles where subparagraph titles below introduce lists, the following requirements apply for product selection:</w:t>
      </w:r>
    </w:p>
    <w:p w14:paraId="2956514D" w14:textId="77777777" w:rsidR="005F74AA" w:rsidRDefault="005F74AA">
      <w:pPr>
        <w:pStyle w:val="CMT"/>
        <w:ind w:left="1080" w:hanging="360"/>
        <w:rPr>
          <w:sz w:val="20"/>
        </w:rPr>
      </w:pPr>
      <w:r>
        <w:rPr>
          <w:sz w:val="20"/>
        </w:rPr>
        <w:t>Coordinate subparagraphs retained below with subparagraph titles retained in other Part 2 articles.  Refer to Division 1 Section "Product Requirements."</w:t>
      </w:r>
    </w:p>
    <w:p w14:paraId="6F79CD36" w14:textId="77777777" w:rsidR="005F74AA" w:rsidRDefault="005F74AA">
      <w:pPr>
        <w:pStyle w:val="PR2"/>
        <w:tabs>
          <w:tab w:val="clear" w:pos="1440"/>
        </w:tabs>
        <w:ind w:left="1080" w:hanging="360"/>
        <w:rPr>
          <w:sz w:val="20"/>
        </w:rPr>
      </w:pPr>
      <w:r>
        <w:rPr>
          <w:sz w:val="20"/>
        </w:rPr>
        <w:t xml:space="preserve">Products:  Subject to compliance with requirements, provide </w:t>
      </w:r>
      <w:r w:rsidR="00325B6A">
        <w:rPr>
          <w:sz w:val="20"/>
        </w:rPr>
        <w:t>only</w:t>
      </w:r>
      <w:r>
        <w:rPr>
          <w:sz w:val="20"/>
        </w:rPr>
        <w:t xml:space="preserve"> the products specified.</w:t>
      </w:r>
    </w:p>
    <w:p w14:paraId="2EC29372" w14:textId="77777777" w:rsidR="005F74AA" w:rsidRDefault="005F74AA">
      <w:pPr>
        <w:pStyle w:val="ART"/>
        <w:tabs>
          <w:tab w:val="clear" w:pos="864"/>
          <w:tab w:val="left" w:pos="720"/>
        </w:tabs>
        <w:ind w:left="720" w:hanging="720"/>
        <w:rPr>
          <w:sz w:val="20"/>
        </w:rPr>
      </w:pPr>
      <w:r>
        <w:rPr>
          <w:sz w:val="20"/>
        </w:rPr>
        <w:t>LIGHTING FIXTURES, GENERAL</w:t>
      </w:r>
    </w:p>
    <w:p w14:paraId="799F3595" w14:textId="77777777" w:rsidR="005F74AA" w:rsidRDefault="005F74AA">
      <w:pPr>
        <w:pStyle w:val="ART"/>
        <w:tabs>
          <w:tab w:val="clear" w:pos="864"/>
          <w:tab w:val="left" w:pos="720"/>
        </w:tabs>
        <w:ind w:left="720" w:hanging="720"/>
        <w:rPr>
          <w:sz w:val="20"/>
        </w:rPr>
      </w:pPr>
      <w:r>
        <w:rPr>
          <w:sz w:val="20"/>
        </w:rPr>
        <w:lastRenderedPageBreak/>
        <w:t>FLUORESCENT BALLASTS</w:t>
      </w:r>
    </w:p>
    <w:p w14:paraId="6BD785AB" w14:textId="77777777" w:rsidR="005F74AA" w:rsidRDefault="005F74AA">
      <w:pPr>
        <w:pStyle w:val="PR1"/>
        <w:tabs>
          <w:tab w:val="clear" w:pos="864"/>
        </w:tabs>
        <w:spacing w:before="0"/>
        <w:ind w:left="720" w:hanging="540"/>
        <w:outlineLvl w:val="9"/>
        <w:rPr>
          <w:sz w:val="20"/>
        </w:rPr>
      </w:pPr>
      <w:r>
        <w:rPr>
          <w:sz w:val="20"/>
        </w:rPr>
        <w:t>Description:  Unless otherwise indicated, features include the following:</w:t>
      </w:r>
    </w:p>
    <w:p w14:paraId="462FEABB" w14:textId="77777777" w:rsidR="005F74AA" w:rsidRDefault="005F74AA">
      <w:pPr>
        <w:pStyle w:val="PR2"/>
        <w:tabs>
          <w:tab w:val="clear" w:pos="1440"/>
        </w:tabs>
        <w:ind w:left="1080" w:hanging="360"/>
        <w:rPr>
          <w:sz w:val="20"/>
        </w:rPr>
      </w:pPr>
      <w:r>
        <w:rPr>
          <w:sz w:val="20"/>
        </w:rPr>
        <w:t>Designed for type and quantity of lamps indicated at full light output.</w:t>
      </w:r>
    </w:p>
    <w:p w14:paraId="374CDA48" w14:textId="77777777" w:rsidR="005F74AA" w:rsidRDefault="005F74AA">
      <w:pPr>
        <w:pStyle w:val="CMT"/>
        <w:spacing w:after="240"/>
        <w:ind w:left="1080" w:hanging="360"/>
        <w:rPr>
          <w:sz w:val="20"/>
        </w:rPr>
      </w:pPr>
      <w:r>
        <w:rPr>
          <w:sz w:val="20"/>
        </w:rPr>
        <w:t>Retain first subparagraph below if Project requires total harmonic distortion less than 32 percent permitted for Certified Ballast Manufacturers Association certification.  See Evaluations for electrical and economic impacts of choices.</w:t>
      </w:r>
    </w:p>
    <w:p w14:paraId="1A5EC789" w14:textId="77777777" w:rsidR="005F74AA" w:rsidRDefault="005F74AA">
      <w:pPr>
        <w:pStyle w:val="PR2"/>
        <w:tabs>
          <w:tab w:val="clear" w:pos="1440"/>
        </w:tabs>
        <w:ind w:left="1080" w:hanging="360"/>
        <w:rPr>
          <w:sz w:val="20"/>
        </w:rPr>
      </w:pPr>
      <w:r>
        <w:rPr>
          <w:sz w:val="20"/>
        </w:rPr>
        <w:t>Total Harmonic Distortion Rating:  Less than 10 percent.  Lamp current crest factor:  less than 1.7.</w:t>
      </w:r>
    </w:p>
    <w:p w14:paraId="4119A245" w14:textId="77777777" w:rsidR="005F74AA" w:rsidRDefault="005F74AA">
      <w:pPr>
        <w:pStyle w:val="PR2"/>
        <w:tabs>
          <w:tab w:val="clear" w:pos="1440"/>
        </w:tabs>
        <w:ind w:left="1080" w:hanging="360"/>
        <w:rPr>
          <w:sz w:val="20"/>
        </w:rPr>
      </w:pPr>
      <w:r>
        <w:rPr>
          <w:sz w:val="20"/>
        </w:rPr>
        <w:t>Transient Protection:  Comply with IEEE C62.41 for Category A1 locations.</w:t>
      </w:r>
    </w:p>
    <w:p w14:paraId="0F730032" w14:textId="77777777" w:rsidR="005F74AA" w:rsidRDefault="005F74AA">
      <w:pPr>
        <w:pStyle w:val="CMT"/>
        <w:spacing w:after="240"/>
        <w:ind w:left="1080" w:hanging="360"/>
        <w:rPr>
          <w:sz w:val="20"/>
        </w:rPr>
      </w:pPr>
      <w:r>
        <w:rPr>
          <w:sz w:val="20"/>
        </w:rPr>
        <w:t>If Project includes slimline or high-output lamps, indicate exceptions to requirement in first subparagraph below in schedules or details.</w:t>
      </w:r>
    </w:p>
    <w:p w14:paraId="49DB2A72" w14:textId="77777777" w:rsidR="005F74AA" w:rsidRDefault="005F74AA">
      <w:pPr>
        <w:pStyle w:val="PR2"/>
        <w:tabs>
          <w:tab w:val="clear" w:pos="1440"/>
        </w:tabs>
        <w:ind w:left="1080" w:hanging="360"/>
        <w:rPr>
          <w:sz w:val="20"/>
        </w:rPr>
      </w:pPr>
      <w:r>
        <w:rPr>
          <w:sz w:val="20"/>
        </w:rPr>
        <w:t>Sound Rating:  A or better unless otherwise indicated.</w:t>
      </w:r>
    </w:p>
    <w:p w14:paraId="77F83EAA" w14:textId="77777777" w:rsidR="005F74AA" w:rsidRDefault="005F74AA">
      <w:pPr>
        <w:pStyle w:val="PR2"/>
        <w:tabs>
          <w:tab w:val="clear" w:pos="1440"/>
        </w:tabs>
        <w:ind w:left="1080" w:hanging="360"/>
        <w:rPr>
          <w:sz w:val="20"/>
        </w:rPr>
      </w:pPr>
      <w:r>
        <w:rPr>
          <w:sz w:val="20"/>
        </w:rPr>
        <w:t>Ballasts for Linear Lamps:  Electronic type, unless otherwise indicated.  Include the following added features:</w:t>
      </w:r>
    </w:p>
    <w:p w14:paraId="0988E524" w14:textId="77777777" w:rsidR="005F74AA" w:rsidRDefault="005F74AA">
      <w:pPr>
        <w:pStyle w:val="PR3"/>
        <w:tabs>
          <w:tab w:val="clear" w:pos="2016"/>
        </w:tabs>
        <w:ind w:left="1440" w:hanging="360"/>
        <w:rPr>
          <w:sz w:val="20"/>
        </w:rPr>
      </w:pPr>
      <w:r>
        <w:rPr>
          <w:sz w:val="20"/>
        </w:rPr>
        <w:t>Certified Ballast Manufacturer Certification:  Indicated by label.</w:t>
      </w:r>
    </w:p>
    <w:p w14:paraId="63CB4069" w14:textId="77777777" w:rsidR="005F74AA" w:rsidRDefault="005F74AA">
      <w:pPr>
        <w:pStyle w:val="PR3"/>
        <w:tabs>
          <w:tab w:val="clear" w:pos="2016"/>
        </w:tabs>
        <w:ind w:left="1440" w:hanging="360"/>
        <w:rPr>
          <w:sz w:val="20"/>
        </w:rPr>
      </w:pPr>
      <w:r>
        <w:rPr>
          <w:sz w:val="20"/>
        </w:rPr>
        <w:t>Encapsulation:  Without voids in potting compound.</w:t>
      </w:r>
    </w:p>
    <w:p w14:paraId="0772EE0A" w14:textId="77777777" w:rsidR="005F74AA" w:rsidRDefault="005F74AA">
      <w:pPr>
        <w:pStyle w:val="PR3"/>
        <w:tabs>
          <w:tab w:val="clear" w:pos="2016"/>
        </w:tabs>
        <w:ind w:left="1440" w:hanging="360"/>
        <w:rPr>
          <w:sz w:val="20"/>
        </w:rPr>
      </w:pPr>
      <w:r>
        <w:rPr>
          <w:sz w:val="20"/>
        </w:rPr>
        <w:t>Parallel Lamp Circuits:  Multiple lamp ballasts connected to maintain full light output on surviving lamps if one or more lamps fail.</w:t>
      </w:r>
    </w:p>
    <w:p w14:paraId="5F22ACB4" w14:textId="77777777" w:rsidR="005F74AA" w:rsidRDefault="005F74AA">
      <w:pPr>
        <w:pStyle w:val="PR2"/>
        <w:tabs>
          <w:tab w:val="clear" w:pos="1440"/>
        </w:tabs>
        <w:ind w:left="1080" w:hanging="360"/>
        <w:rPr>
          <w:sz w:val="20"/>
        </w:rPr>
      </w:pPr>
      <w:r>
        <w:rPr>
          <w:sz w:val="20"/>
        </w:rPr>
        <w:t>Electromagnetic Ballasts for Linear Lamps:  Energy saving type.</w:t>
      </w:r>
    </w:p>
    <w:p w14:paraId="504862A3" w14:textId="77777777" w:rsidR="005F74AA" w:rsidRDefault="005F74AA">
      <w:pPr>
        <w:pStyle w:val="PR2"/>
        <w:tabs>
          <w:tab w:val="clear" w:pos="1440"/>
        </w:tabs>
        <w:ind w:left="1080" w:hanging="360"/>
        <w:rPr>
          <w:sz w:val="20"/>
        </w:rPr>
      </w:pPr>
      <w:r>
        <w:rPr>
          <w:sz w:val="20"/>
        </w:rPr>
        <w:t>Ballasts for Compact Lamps:  Electronic, fully encapsulated in potting compound, and with the following features:</w:t>
      </w:r>
    </w:p>
    <w:p w14:paraId="03FCDA9D" w14:textId="77777777" w:rsidR="005F74AA" w:rsidRDefault="005F74AA">
      <w:pPr>
        <w:pStyle w:val="CMT"/>
        <w:spacing w:after="240"/>
        <w:ind w:left="1080" w:hanging="360"/>
        <w:rPr>
          <w:sz w:val="20"/>
        </w:rPr>
      </w:pPr>
      <w:r>
        <w:rPr>
          <w:sz w:val="20"/>
        </w:rPr>
        <w:t>Edit subparagraphs below to suit applications.  There is a trend toward greater availability of electronic ballasts for compact lamps, but some manufacturers offer a larger selection of sizes and ratings than others.  Some electronic ballast/compact lamp combinations have dimming capability.</w:t>
      </w:r>
    </w:p>
    <w:p w14:paraId="165B72E2" w14:textId="77777777" w:rsidR="005F74AA" w:rsidRDefault="005F74AA">
      <w:pPr>
        <w:pStyle w:val="PR2"/>
        <w:tabs>
          <w:tab w:val="clear" w:pos="1440"/>
        </w:tabs>
        <w:ind w:left="1080" w:hanging="360"/>
        <w:rPr>
          <w:sz w:val="20"/>
        </w:rPr>
      </w:pPr>
      <w:r>
        <w:rPr>
          <w:sz w:val="20"/>
        </w:rPr>
        <w:t>Power Factor:  90 percent, minimum.</w:t>
      </w:r>
    </w:p>
    <w:p w14:paraId="4D530445" w14:textId="77777777" w:rsidR="005F74AA" w:rsidRDefault="005F74AA">
      <w:pPr>
        <w:pStyle w:val="PR2"/>
        <w:tabs>
          <w:tab w:val="clear" w:pos="1440"/>
        </w:tabs>
        <w:ind w:left="1080" w:hanging="360"/>
        <w:rPr>
          <w:sz w:val="20"/>
        </w:rPr>
      </w:pPr>
      <w:r>
        <w:rPr>
          <w:sz w:val="20"/>
        </w:rPr>
        <w:t>Operating Frequency for Electronic Ballasts:  20 kHz or higher.</w:t>
      </w:r>
    </w:p>
    <w:p w14:paraId="04D79F71" w14:textId="77777777" w:rsidR="005F74AA" w:rsidRDefault="005F74AA">
      <w:pPr>
        <w:pStyle w:val="PR2"/>
        <w:tabs>
          <w:tab w:val="clear" w:pos="1440"/>
        </w:tabs>
        <w:ind w:left="1080" w:hanging="360"/>
        <w:rPr>
          <w:sz w:val="20"/>
        </w:rPr>
      </w:pPr>
      <w:r>
        <w:rPr>
          <w:sz w:val="20"/>
        </w:rPr>
        <w:t>Flicker:  Less than 5 percent.</w:t>
      </w:r>
    </w:p>
    <w:p w14:paraId="5F0C5364" w14:textId="77777777" w:rsidR="005F74AA" w:rsidRDefault="005F74AA">
      <w:pPr>
        <w:pStyle w:val="CMT"/>
        <w:spacing w:after="240"/>
        <w:ind w:left="1080" w:hanging="360"/>
        <w:rPr>
          <w:sz w:val="20"/>
        </w:rPr>
      </w:pPr>
      <w:r>
        <w:rPr>
          <w:sz w:val="20"/>
        </w:rPr>
        <w:t>See Evaluations for discussion of CFR compliance.</w:t>
      </w:r>
    </w:p>
    <w:p w14:paraId="76E81D02" w14:textId="77777777" w:rsidR="005F74AA" w:rsidRDefault="005F74AA">
      <w:pPr>
        <w:pStyle w:val="PR2"/>
        <w:tabs>
          <w:tab w:val="clear" w:pos="1440"/>
        </w:tabs>
        <w:ind w:left="1080" w:hanging="360"/>
        <w:rPr>
          <w:sz w:val="20"/>
        </w:rPr>
      </w:pPr>
      <w:r>
        <w:rPr>
          <w:sz w:val="20"/>
        </w:rPr>
        <w:t xml:space="preserve">Electronic Ballast Interference:  Comply with 47 CFR, Chapter 1, Part 18, Subpart C for limitations on electromagnetic and radio-frequency interference for </w:t>
      </w:r>
      <w:proofErr w:type="spellStart"/>
      <w:r>
        <w:rPr>
          <w:sz w:val="20"/>
        </w:rPr>
        <w:t>nonconsumer</w:t>
      </w:r>
      <w:proofErr w:type="spellEnd"/>
      <w:r>
        <w:rPr>
          <w:sz w:val="20"/>
        </w:rPr>
        <w:t xml:space="preserve"> equipment.</w:t>
      </w:r>
    </w:p>
    <w:p w14:paraId="41ADD554" w14:textId="77777777" w:rsidR="005F74AA" w:rsidRDefault="005F74AA">
      <w:pPr>
        <w:pStyle w:val="CMT"/>
        <w:spacing w:after="240"/>
        <w:ind w:left="1080" w:hanging="360"/>
        <w:rPr>
          <w:sz w:val="20"/>
        </w:rPr>
      </w:pPr>
      <w:r>
        <w:rPr>
          <w:sz w:val="20"/>
        </w:rPr>
        <w:t>Coordinate subparagraph and associated subparagraph below with certification requirement in Part 1.</w:t>
      </w:r>
    </w:p>
    <w:p w14:paraId="44DDDE3E" w14:textId="77777777" w:rsidR="005F74AA" w:rsidRDefault="005F74AA">
      <w:pPr>
        <w:pStyle w:val="CMT"/>
        <w:ind w:left="1080" w:hanging="360"/>
        <w:rPr>
          <w:sz w:val="20"/>
        </w:rPr>
      </w:pPr>
      <w:r>
        <w:rPr>
          <w:sz w:val="20"/>
        </w:rPr>
        <w:t>Delete or edit first subparagraph and associated subparagraphs below to suit Project.</w:t>
      </w:r>
    </w:p>
    <w:p w14:paraId="0EA3CB7D" w14:textId="77777777" w:rsidR="005F74AA" w:rsidRDefault="005F74AA">
      <w:pPr>
        <w:pStyle w:val="PR2"/>
        <w:tabs>
          <w:tab w:val="clear" w:pos="1440"/>
        </w:tabs>
        <w:ind w:left="1080" w:hanging="360"/>
        <w:rPr>
          <w:sz w:val="20"/>
        </w:rPr>
      </w:pPr>
      <w:r>
        <w:rPr>
          <w:sz w:val="20"/>
        </w:rPr>
        <w:t>Ballasts for Low-Temperature Environments:  As follows:</w:t>
      </w:r>
    </w:p>
    <w:p w14:paraId="3CC24185" w14:textId="77777777" w:rsidR="005F74AA" w:rsidRDefault="005F74AA">
      <w:pPr>
        <w:pStyle w:val="PR3"/>
        <w:tabs>
          <w:tab w:val="clear" w:pos="2016"/>
        </w:tabs>
        <w:ind w:left="1440" w:hanging="360"/>
        <w:rPr>
          <w:sz w:val="20"/>
        </w:rPr>
      </w:pPr>
      <w:r>
        <w:rPr>
          <w:sz w:val="20"/>
        </w:rPr>
        <w:t xml:space="preserve">Temperatures </w:t>
      </w:r>
      <w:r>
        <w:rPr>
          <w:rStyle w:val="IP"/>
          <w:sz w:val="20"/>
        </w:rPr>
        <w:t>0 Deg F</w:t>
      </w:r>
      <w:r>
        <w:rPr>
          <w:sz w:val="20"/>
        </w:rPr>
        <w:t xml:space="preserve"> and Above:  Electronic or electromagnetic type rated for </w:t>
      </w:r>
      <w:r>
        <w:rPr>
          <w:rStyle w:val="IP"/>
          <w:sz w:val="20"/>
        </w:rPr>
        <w:t>0 deg F</w:t>
      </w:r>
      <w:r>
        <w:rPr>
          <w:sz w:val="20"/>
        </w:rPr>
        <w:t xml:space="preserve"> starting temperature.</w:t>
      </w:r>
    </w:p>
    <w:p w14:paraId="03584D42" w14:textId="77777777" w:rsidR="005F74AA" w:rsidRDefault="005F74AA">
      <w:pPr>
        <w:pStyle w:val="PR3"/>
        <w:tabs>
          <w:tab w:val="clear" w:pos="2016"/>
        </w:tabs>
        <w:ind w:left="1440" w:hanging="360"/>
        <w:rPr>
          <w:sz w:val="20"/>
        </w:rPr>
      </w:pPr>
      <w:r>
        <w:rPr>
          <w:sz w:val="20"/>
        </w:rPr>
        <w:t xml:space="preserve">Temperatures </w:t>
      </w:r>
      <w:r>
        <w:rPr>
          <w:rStyle w:val="IP"/>
          <w:sz w:val="20"/>
        </w:rPr>
        <w:t>Minus 20 Deg F</w:t>
      </w:r>
      <w:r>
        <w:rPr>
          <w:sz w:val="20"/>
        </w:rPr>
        <w:t xml:space="preserve"> and Above:  Electromagnetic type designed for use with high-output lamps.</w:t>
      </w:r>
    </w:p>
    <w:p w14:paraId="6D988A75" w14:textId="77777777" w:rsidR="005F74AA" w:rsidRDefault="005F74AA">
      <w:pPr>
        <w:pStyle w:val="ART"/>
        <w:tabs>
          <w:tab w:val="clear" w:pos="864"/>
          <w:tab w:val="left" w:pos="720"/>
        </w:tabs>
        <w:ind w:left="720" w:hanging="720"/>
        <w:rPr>
          <w:sz w:val="20"/>
        </w:rPr>
      </w:pPr>
      <w:r>
        <w:rPr>
          <w:sz w:val="20"/>
        </w:rPr>
        <w:t>HIGH-INTENSITY-DISCHARGE LAMP BALLASTS</w:t>
      </w:r>
    </w:p>
    <w:p w14:paraId="10048E29" w14:textId="77777777" w:rsidR="005F74AA" w:rsidRDefault="005F74AA">
      <w:pPr>
        <w:pStyle w:val="PR1"/>
        <w:tabs>
          <w:tab w:val="clear" w:pos="864"/>
        </w:tabs>
        <w:spacing w:before="0"/>
        <w:ind w:left="720" w:hanging="540"/>
        <w:outlineLvl w:val="9"/>
        <w:rPr>
          <w:sz w:val="20"/>
        </w:rPr>
      </w:pPr>
      <w:r>
        <w:rPr>
          <w:sz w:val="20"/>
        </w:rPr>
        <w:t>General:  Comply with ANSI C82.4.  Features include the following unless otherwise indicated:</w:t>
      </w:r>
    </w:p>
    <w:p w14:paraId="19CE84DA" w14:textId="77777777" w:rsidR="005F74AA" w:rsidRDefault="005F74AA">
      <w:pPr>
        <w:pStyle w:val="CMT"/>
        <w:ind w:left="1080" w:hanging="360"/>
        <w:rPr>
          <w:sz w:val="20"/>
        </w:rPr>
      </w:pPr>
      <w:r>
        <w:rPr>
          <w:sz w:val="20"/>
        </w:rPr>
        <w:t>Retain encapsulation requirement in first subparagraph below for ballasts used at locations with low noise-criterion ratings.</w:t>
      </w:r>
    </w:p>
    <w:p w14:paraId="22CB5D63" w14:textId="77777777" w:rsidR="005F74AA" w:rsidRDefault="005F74AA">
      <w:pPr>
        <w:pStyle w:val="PR2"/>
        <w:tabs>
          <w:tab w:val="clear" w:pos="1440"/>
        </w:tabs>
        <w:ind w:left="1080" w:hanging="360"/>
        <w:rPr>
          <w:sz w:val="20"/>
        </w:rPr>
      </w:pPr>
      <w:r>
        <w:rPr>
          <w:sz w:val="20"/>
        </w:rPr>
        <w:t>Type: Epoxy-encapsulated constant wattage autotransformer or regulating high-power-factor type, unless otherwise indicated.</w:t>
      </w:r>
    </w:p>
    <w:p w14:paraId="6ECA6FA9" w14:textId="77777777" w:rsidR="005F74AA" w:rsidRDefault="005F74AA">
      <w:pPr>
        <w:pStyle w:val="PR2"/>
        <w:tabs>
          <w:tab w:val="clear" w:pos="1440"/>
        </w:tabs>
        <w:ind w:left="1080" w:hanging="360"/>
        <w:rPr>
          <w:sz w:val="20"/>
        </w:rPr>
      </w:pPr>
      <w:r>
        <w:rPr>
          <w:sz w:val="20"/>
        </w:rPr>
        <w:t xml:space="preserve">Minimum Starting Temperature:  </w:t>
      </w:r>
      <w:r>
        <w:rPr>
          <w:rStyle w:val="IP"/>
          <w:sz w:val="20"/>
        </w:rPr>
        <w:t>Minus 22 deg F</w:t>
      </w:r>
      <w:r>
        <w:rPr>
          <w:sz w:val="20"/>
        </w:rPr>
        <w:t xml:space="preserve"> for single lamp ballasts.</w:t>
      </w:r>
    </w:p>
    <w:p w14:paraId="672A9849" w14:textId="77777777" w:rsidR="005F74AA" w:rsidRDefault="005F74AA">
      <w:pPr>
        <w:pStyle w:val="PR2"/>
        <w:tabs>
          <w:tab w:val="clear" w:pos="1440"/>
        </w:tabs>
        <w:ind w:left="1080" w:hanging="360"/>
        <w:rPr>
          <w:sz w:val="20"/>
        </w:rPr>
      </w:pPr>
      <w:r>
        <w:rPr>
          <w:sz w:val="20"/>
        </w:rPr>
        <w:t xml:space="preserve">Normal Ambient Operating Temperature:  </w:t>
      </w:r>
      <w:r>
        <w:rPr>
          <w:rStyle w:val="IP"/>
          <w:sz w:val="20"/>
        </w:rPr>
        <w:t>104 deg F</w:t>
      </w:r>
      <w:r>
        <w:rPr>
          <w:sz w:val="20"/>
        </w:rPr>
        <w:t>.</w:t>
      </w:r>
    </w:p>
    <w:p w14:paraId="682105F4" w14:textId="77777777" w:rsidR="005F74AA" w:rsidRDefault="005F74AA">
      <w:pPr>
        <w:pStyle w:val="PR2"/>
        <w:tabs>
          <w:tab w:val="clear" w:pos="1440"/>
        </w:tabs>
        <w:ind w:left="1080" w:hanging="360"/>
        <w:rPr>
          <w:sz w:val="20"/>
        </w:rPr>
      </w:pPr>
      <w:r>
        <w:rPr>
          <w:sz w:val="20"/>
        </w:rPr>
        <w:t>Open-circuit operation that will not reduce average life.</w:t>
      </w:r>
    </w:p>
    <w:p w14:paraId="55EE4EE3" w14:textId="77777777" w:rsidR="005F74AA" w:rsidRDefault="005F74AA">
      <w:pPr>
        <w:pStyle w:val="CMT"/>
        <w:spacing w:after="240"/>
        <w:ind w:left="1080" w:hanging="360"/>
        <w:rPr>
          <w:sz w:val="20"/>
        </w:rPr>
      </w:pPr>
      <w:r>
        <w:rPr>
          <w:sz w:val="20"/>
        </w:rPr>
        <w:lastRenderedPageBreak/>
        <w:t>Retain subparagraph below where needed.  Coordinate with schedule or details.  See Editing Instruction No. 4 in the Evaluations.</w:t>
      </w:r>
    </w:p>
    <w:p w14:paraId="32552DDC" w14:textId="77777777" w:rsidR="005F74AA" w:rsidRDefault="005F74AA">
      <w:pPr>
        <w:pStyle w:val="PR2"/>
        <w:tabs>
          <w:tab w:val="clear" w:pos="1440"/>
        </w:tabs>
        <w:ind w:left="1080" w:hanging="360"/>
        <w:rPr>
          <w:sz w:val="20"/>
        </w:rPr>
      </w:pPr>
      <w:r>
        <w:rPr>
          <w:sz w:val="20"/>
        </w:rPr>
        <w:t>Auxiliary, Instant-on, Quartz System:  Automatically switches quartz lamp on when fixture is initially energized and when momentary power outages occur.  Automatically turns quartz lamp off when high-intensity-discharge lamp reaches approximately 60 percent light output.</w:t>
      </w:r>
    </w:p>
    <w:p w14:paraId="08CD3122" w14:textId="77777777" w:rsidR="005F74AA" w:rsidRDefault="005F74AA">
      <w:pPr>
        <w:pStyle w:val="ART"/>
        <w:tabs>
          <w:tab w:val="clear" w:pos="864"/>
          <w:tab w:val="left" w:pos="720"/>
        </w:tabs>
        <w:ind w:left="720" w:hanging="720"/>
        <w:rPr>
          <w:sz w:val="20"/>
        </w:rPr>
      </w:pPr>
      <w:r>
        <w:rPr>
          <w:sz w:val="20"/>
        </w:rPr>
        <w:t>EXIT SIGNS</w:t>
      </w:r>
    </w:p>
    <w:p w14:paraId="42E2A185" w14:textId="77777777" w:rsidR="005F74AA" w:rsidRDefault="005F74AA">
      <w:pPr>
        <w:pStyle w:val="PR1"/>
        <w:tabs>
          <w:tab w:val="clear" w:pos="864"/>
        </w:tabs>
        <w:spacing w:before="0"/>
        <w:ind w:left="720" w:hanging="540"/>
        <w:outlineLvl w:val="9"/>
        <w:rPr>
          <w:sz w:val="20"/>
        </w:rPr>
      </w:pPr>
      <w:r>
        <w:rPr>
          <w:sz w:val="20"/>
        </w:rPr>
        <w:t>General Requirements:  Comply with UL 924 and the following:</w:t>
      </w:r>
    </w:p>
    <w:p w14:paraId="0B5B3FB0" w14:textId="77777777" w:rsidR="005F74AA" w:rsidRDefault="005F74AA">
      <w:pPr>
        <w:pStyle w:val="PR2"/>
        <w:tabs>
          <w:tab w:val="clear" w:pos="1440"/>
        </w:tabs>
        <w:ind w:left="1080" w:hanging="360"/>
        <w:rPr>
          <w:sz w:val="20"/>
        </w:rPr>
      </w:pPr>
      <w:r>
        <w:rPr>
          <w:sz w:val="20"/>
        </w:rPr>
        <w:t>Sign Colors and Lettering Size:  Comply with authorities having jurisdiction.</w:t>
      </w:r>
    </w:p>
    <w:p w14:paraId="46A70AA5" w14:textId="77777777" w:rsidR="005F74AA" w:rsidRDefault="005F74AA">
      <w:pPr>
        <w:pStyle w:val="CMT"/>
        <w:ind w:left="720" w:hanging="540"/>
        <w:rPr>
          <w:sz w:val="20"/>
        </w:rPr>
      </w:pPr>
      <w:r>
        <w:rPr>
          <w:sz w:val="20"/>
        </w:rPr>
        <w:t>Edit paragraph and subparagraphs below.  See Evaluations for energy considerations.</w:t>
      </w:r>
    </w:p>
    <w:p w14:paraId="11502F44" w14:textId="77777777" w:rsidR="005F74AA" w:rsidRDefault="005F74AA">
      <w:pPr>
        <w:pStyle w:val="PR1"/>
        <w:tabs>
          <w:tab w:val="clear" w:pos="864"/>
        </w:tabs>
        <w:spacing w:before="0"/>
        <w:ind w:left="720" w:hanging="540"/>
        <w:outlineLvl w:val="9"/>
        <w:rPr>
          <w:sz w:val="20"/>
        </w:rPr>
      </w:pPr>
      <w:r>
        <w:rPr>
          <w:sz w:val="20"/>
        </w:rPr>
        <w:t>Internally Lighted Signs:  Features as follows:</w:t>
      </w:r>
    </w:p>
    <w:p w14:paraId="4C31F694" w14:textId="77777777" w:rsidR="005F74AA" w:rsidRDefault="005F74AA">
      <w:pPr>
        <w:pStyle w:val="PR2"/>
        <w:tabs>
          <w:tab w:val="clear" w:pos="1440"/>
        </w:tabs>
        <w:ind w:left="1080" w:hanging="360"/>
        <w:rPr>
          <w:sz w:val="20"/>
        </w:rPr>
      </w:pPr>
      <w:r>
        <w:rPr>
          <w:sz w:val="20"/>
        </w:rPr>
        <w:t>Lamps for AC Operation:  Two or more for each fixture; light-emitting diodes, 70,000 hours life.</w:t>
      </w:r>
    </w:p>
    <w:p w14:paraId="33CD726B" w14:textId="77777777" w:rsidR="005F74AA" w:rsidRDefault="005F74AA">
      <w:pPr>
        <w:pStyle w:val="CMT"/>
        <w:tabs>
          <w:tab w:val="left" w:pos="720"/>
        </w:tabs>
        <w:spacing w:after="240"/>
        <w:ind w:left="720" w:hanging="720"/>
        <w:rPr>
          <w:sz w:val="20"/>
        </w:rPr>
      </w:pPr>
      <w:r>
        <w:rPr>
          <w:sz w:val="20"/>
        </w:rPr>
        <w:t>Delete first subparagraph below if external DC source is not used.</w:t>
      </w:r>
    </w:p>
    <w:p w14:paraId="6BAB46DD" w14:textId="77777777" w:rsidR="005F74AA" w:rsidRDefault="005F74AA">
      <w:pPr>
        <w:pStyle w:val="CMT"/>
        <w:tabs>
          <w:tab w:val="left" w:pos="720"/>
        </w:tabs>
        <w:ind w:left="720" w:hanging="720"/>
        <w:rPr>
          <w:sz w:val="20"/>
        </w:rPr>
      </w:pPr>
      <w:r>
        <w:rPr>
          <w:sz w:val="20"/>
        </w:rPr>
        <w:t>For below, see Editing Instruction No. 5 in the Evaluations.</w:t>
      </w:r>
    </w:p>
    <w:p w14:paraId="24CA7DE1" w14:textId="77777777" w:rsidR="005F74AA" w:rsidRDefault="005F74AA">
      <w:pPr>
        <w:pStyle w:val="ART"/>
        <w:tabs>
          <w:tab w:val="clear" w:pos="864"/>
          <w:tab w:val="left" w:pos="720"/>
        </w:tabs>
        <w:ind w:left="720" w:hanging="720"/>
        <w:rPr>
          <w:sz w:val="20"/>
        </w:rPr>
      </w:pPr>
      <w:r>
        <w:rPr>
          <w:sz w:val="20"/>
        </w:rPr>
        <w:t>LIGHTING FIXTURES (SEE LIGHTING SCHEDULE ON SHEET E-1)</w:t>
      </w:r>
    </w:p>
    <w:p w14:paraId="074BE24E" w14:textId="77777777" w:rsidR="005F74AA" w:rsidRDefault="005F74AA">
      <w:pPr>
        <w:pStyle w:val="CMT"/>
        <w:tabs>
          <w:tab w:val="left" w:pos="720"/>
        </w:tabs>
        <w:ind w:left="720" w:hanging="720"/>
        <w:rPr>
          <w:sz w:val="20"/>
        </w:rPr>
      </w:pPr>
      <w:r>
        <w:rPr>
          <w:sz w:val="20"/>
        </w:rPr>
        <w:t>Copy and edit this Article for each type fixture or delete this Article and schedule fixtures on Drawings.</w:t>
      </w:r>
    </w:p>
    <w:p w14:paraId="05357B58" w14:textId="77777777" w:rsidR="005F74AA" w:rsidRDefault="005F74AA">
      <w:pPr>
        <w:pStyle w:val="ART"/>
        <w:tabs>
          <w:tab w:val="clear" w:pos="864"/>
          <w:tab w:val="left" w:pos="720"/>
        </w:tabs>
        <w:ind w:left="720" w:hanging="720"/>
        <w:rPr>
          <w:sz w:val="20"/>
        </w:rPr>
      </w:pPr>
      <w:r>
        <w:rPr>
          <w:sz w:val="20"/>
        </w:rPr>
        <w:t>EMERGENCY LIGHTING UNITS (SEE LIGHTING SCHEDULE ON SHEET E-1)</w:t>
      </w:r>
    </w:p>
    <w:p w14:paraId="6FC98A80" w14:textId="77777777" w:rsidR="005F74AA" w:rsidRDefault="005F74AA">
      <w:pPr>
        <w:pStyle w:val="PR1"/>
        <w:tabs>
          <w:tab w:val="clear" w:pos="864"/>
        </w:tabs>
        <w:spacing w:before="0"/>
        <w:ind w:left="720" w:hanging="540"/>
        <w:outlineLvl w:val="9"/>
        <w:rPr>
          <w:sz w:val="20"/>
        </w:rPr>
      </w:pPr>
      <w:r>
        <w:rPr>
          <w:sz w:val="20"/>
        </w:rPr>
        <w:t>Install as indicated such that the generator is the alternate power source.</w:t>
      </w:r>
    </w:p>
    <w:p w14:paraId="21D33ECC" w14:textId="77777777" w:rsidR="005F74AA" w:rsidRDefault="005F74AA">
      <w:pPr>
        <w:pStyle w:val="CMT"/>
        <w:tabs>
          <w:tab w:val="left" w:pos="720"/>
        </w:tabs>
        <w:ind w:left="720" w:hanging="720"/>
        <w:rPr>
          <w:sz w:val="20"/>
        </w:rPr>
      </w:pPr>
      <w:r>
        <w:rPr>
          <w:sz w:val="20"/>
        </w:rPr>
        <w:t>Supplement basic description below with data in lighting fixture schedules or details. Other battery types may be specified.  See Evaluations.  Coordinate with Part 1.</w:t>
      </w:r>
    </w:p>
    <w:p w14:paraId="401CD9F9" w14:textId="77777777" w:rsidR="005F74AA" w:rsidRDefault="005F74AA">
      <w:pPr>
        <w:pStyle w:val="ART"/>
        <w:tabs>
          <w:tab w:val="clear" w:pos="864"/>
          <w:tab w:val="left" w:pos="720"/>
        </w:tabs>
        <w:ind w:left="720" w:hanging="720"/>
        <w:rPr>
          <w:sz w:val="20"/>
        </w:rPr>
      </w:pPr>
      <w:r>
        <w:rPr>
          <w:sz w:val="20"/>
        </w:rPr>
        <w:t>LAMPS</w:t>
      </w:r>
    </w:p>
    <w:p w14:paraId="2DE2F256" w14:textId="77777777" w:rsidR="005F74AA" w:rsidRDefault="005F74AA">
      <w:pPr>
        <w:pStyle w:val="CMT"/>
        <w:ind w:left="720" w:hanging="540"/>
        <w:rPr>
          <w:sz w:val="20"/>
        </w:rPr>
      </w:pPr>
      <w:r>
        <w:rPr>
          <w:sz w:val="20"/>
        </w:rPr>
        <w:t>Coordinate this Article with Drawings.  Indicate lamp designation for each fixture in lighting fixture schedule or details.  Where color rendition or color uniformity is important and several types of fluorescent and high-intensity-discharge lamps are used, provide consistent manufacturer designations or ANSI lamp designations to define requirements.</w:t>
      </w:r>
    </w:p>
    <w:p w14:paraId="76778EA7" w14:textId="77777777" w:rsidR="005F74AA" w:rsidRDefault="005F74AA">
      <w:pPr>
        <w:pStyle w:val="CMT"/>
        <w:ind w:left="720" w:hanging="540"/>
        <w:rPr>
          <w:sz w:val="20"/>
        </w:rPr>
      </w:pPr>
      <w:r>
        <w:rPr>
          <w:sz w:val="20"/>
        </w:rPr>
        <w:t>Edit first paragraph below to suit Project, or delete and define by lamp designation in interior lighting fixture schedules or details.</w:t>
      </w:r>
    </w:p>
    <w:p w14:paraId="63A88C76" w14:textId="77777777" w:rsidR="005F74AA" w:rsidRDefault="005F74AA">
      <w:pPr>
        <w:pStyle w:val="PR1"/>
        <w:tabs>
          <w:tab w:val="clear" w:pos="864"/>
        </w:tabs>
        <w:spacing w:before="0"/>
        <w:ind w:left="720" w:hanging="540"/>
        <w:outlineLvl w:val="9"/>
        <w:rPr>
          <w:sz w:val="20"/>
        </w:rPr>
      </w:pPr>
      <w:r>
        <w:rPr>
          <w:sz w:val="20"/>
        </w:rPr>
        <w:t>Fluorescent Color Temperature and Minimum Color-Rendering Index: 4100 K and 90 CRI, unless otherwise indicated.</w:t>
      </w:r>
    </w:p>
    <w:p w14:paraId="54216501" w14:textId="77777777" w:rsidR="005F74AA" w:rsidRDefault="005F74AA">
      <w:pPr>
        <w:pStyle w:val="PR1"/>
        <w:tabs>
          <w:tab w:val="clear" w:pos="864"/>
        </w:tabs>
        <w:spacing w:before="0"/>
        <w:ind w:left="720" w:hanging="540"/>
        <w:outlineLvl w:val="9"/>
        <w:rPr>
          <w:sz w:val="20"/>
        </w:rPr>
      </w:pPr>
      <w:r>
        <w:rPr>
          <w:sz w:val="20"/>
        </w:rPr>
        <w:t>Noncompact Fluorescent Lamp Life:  Rated average shall be 20,000 hours at 3 hours per start when used on rapid-start circuits.</w:t>
      </w:r>
    </w:p>
    <w:p w14:paraId="202CC4E9" w14:textId="77777777" w:rsidR="005F74AA" w:rsidRDefault="005F74AA">
      <w:pPr>
        <w:pStyle w:val="CMT"/>
        <w:ind w:left="720" w:hanging="540"/>
        <w:rPr>
          <w:sz w:val="20"/>
        </w:rPr>
      </w:pPr>
      <w:r>
        <w:rPr>
          <w:sz w:val="20"/>
        </w:rPr>
        <w:t>Delete below if color is defined by lamp designation in lighting fixture schedules or details.  Values vary greatly for different lamp wattages and between standard and premium lamps.</w:t>
      </w:r>
    </w:p>
    <w:p w14:paraId="708AE78C" w14:textId="77777777" w:rsidR="005F74AA" w:rsidRDefault="005F74AA">
      <w:pPr>
        <w:pStyle w:val="PR1"/>
        <w:tabs>
          <w:tab w:val="clear" w:pos="864"/>
        </w:tabs>
        <w:spacing w:before="0"/>
        <w:ind w:left="720" w:hanging="540"/>
        <w:outlineLvl w:val="9"/>
        <w:rPr>
          <w:sz w:val="20"/>
        </w:rPr>
      </w:pPr>
      <w:r>
        <w:rPr>
          <w:sz w:val="20"/>
        </w:rPr>
        <w:t>Metal-Halide Color Temperature and Minimum Color-Rendering Index:  3600 K and 70 CRI, unless otherwise indicated.</w:t>
      </w:r>
    </w:p>
    <w:p w14:paraId="1BE1DBF3" w14:textId="77777777" w:rsidR="005F74AA" w:rsidRDefault="005F74AA">
      <w:pPr>
        <w:pStyle w:val="ART"/>
        <w:tabs>
          <w:tab w:val="clear" w:pos="864"/>
          <w:tab w:val="left" w:pos="720"/>
        </w:tabs>
        <w:ind w:left="720" w:hanging="720"/>
        <w:rPr>
          <w:sz w:val="20"/>
        </w:rPr>
      </w:pPr>
      <w:r>
        <w:rPr>
          <w:sz w:val="20"/>
        </w:rPr>
        <w:t>FIXTURE SUPPORT COMPONENTS</w:t>
      </w:r>
    </w:p>
    <w:p w14:paraId="42BFB6F2" w14:textId="77777777" w:rsidR="005F74AA" w:rsidRDefault="005F74AA">
      <w:pPr>
        <w:pStyle w:val="CMT"/>
        <w:ind w:left="720" w:hanging="540"/>
        <w:rPr>
          <w:sz w:val="20"/>
        </w:rPr>
      </w:pPr>
      <w:r>
        <w:rPr>
          <w:sz w:val="20"/>
        </w:rPr>
        <w:t>Delete this Article if not applicable or edit to suit Project.  Coordinate with Drawings.  See Editing Instruction No. 3 in the Evaluations.</w:t>
      </w:r>
    </w:p>
    <w:p w14:paraId="4FDA2832" w14:textId="77777777" w:rsidR="005F74AA" w:rsidRDefault="005F74AA">
      <w:pPr>
        <w:pStyle w:val="PR1"/>
        <w:tabs>
          <w:tab w:val="clear" w:pos="864"/>
        </w:tabs>
        <w:spacing w:before="0"/>
        <w:ind w:left="720" w:hanging="540"/>
        <w:outlineLvl w:val="9"/>
        <w:rPr>
          <w:sz w:val="20"/>
        </w:rPr>
      </w:pPr>
      <w:r>
        <w:rPr>
          <w:sz w:val="20"/>
        </w:rPr>
        <w:t>Comply with Division 16 Section "Basic Electrical Materials and Methods," for channel- and angle-iron supports and nonmetallic channel and angle supports.</w:t>
      </w:r>
      <w:r w:rsidR="00DB4CE0">
        <w:rPr>
          <w:sz w:val="20"/>
        </w:rPr>
        <w:t xml:space="preserve">  The slotted angles for mounting light fixture types “F1” and type </w:t>
      </w:r>
      <w:r w:rsidR="00E101F5">
        <w:rPr>
          <w:sz w:val="20"/>
        </w:rPr>
        <w:t>“</w:t>
      </w:r>
      <w:r w:rsidR="00DB4CE0">
        <w:rPr>
          <w:sz w:val="20"/>
        </w:rPr>
        <w:t>F1-NL” are provided by the Owner and included with the lighting fixture package provided by the lighting supplier.</w:t>
      </w:r>
    </w:p>
    <w:p w14:paraId="7F44EE89" w14:textId="77777777" w:rsidR="005F74AA" w:rsidRDefault="005F74AA">
      <w:pPr>
        <w:pStyle w:val="PR1"/>
        <w:tabs>
          <w:tab w:val="clear" w:pos="864"/>
        </w:tabs>
        <w:spacing w:before="0"/>
        <w:ind w:left="720" w:hanging="540"/>
        <w:outlineLvl w:val="9"/>
        <w:rPr>
          <w:sz w:val="20"/>
        </w:rPr>
      </w:pPr>
      <w:r>
        <w:rPr>
          <w:sz w:val="20"/>
        </w:rPr>
        <w:lastRenderedPageBreak/>
        <w:t xml:space="preserve">Single-Stem Hangers:  </w:t>
      </w:r>
      <w:r>
        <w:rPr>
          <w:rStyle w:val="IP"/>
          <w:sz w:val="20"/>
        </w:rPr>
        <w:t>1/2-inch</w:t>
      </w:r>
      <w:r>
        <w:rPr>
          <w:sz w:val="20"/>
        </w:rPr>
        <w:t xml:space="preserve"> steel tubing with swivel ball fitting and ceiling canopy.  Finish same as fixture.</w:t>
      </w:r>
    </w:p>
    <w:p w14:paraId="127FFEF3" w14:textId="77777777" w:rsidR="005F74AA" w:rsidRDefault="005F74AA">
      <w:pPr>
        <w:pStyle w:val="PR1"/>
        <w:tabs>
          <w:tab w:val="clear" w:pos="864"/>
        </w:tabs>
        <w:spacing w:before="0"/>
        <w:ind w:left="720" w:hanging="540"/>
        <w:outlineLvl w:val="9"/>
        <w:rPr>
          <w:sz w:val="20"/>
        </w:rPr>
      </w:pPr>
      <w:r>
        <w:rPr>
          <w:sz w:val="20"/>
        </w:rPr>
        <w:t xml:space="preserve">Rod Hangers:  </w:t>
      </w:r>
      <w:r>
        <w:rPr>
          <w:rStyle w:val="IP"/>
          <w:sz w:val="20"/>
        </w:rPr>
        <w:t>3/16-inch-</w:t>
      </w:r>
      <w:r>
        <w:rPr>
          <w:sz w:val="20"/>
        </w:rPr>
        <w:t xml:space="preserve"> minimum diameter, cadmium-plated, threaded steel rod.</w:t>
      </w:r>
    </w:p>
    <w:p w14:paraId="53646972" w14:textId="77777777" w:rsidR="005F74AA" w:rsidRDefault="005F74AA">
      <w:pPr>
        <w:pStyle w:val="PR1"/>
        <w:tabs>
          <w:tab w:val="clear" w:pos="864"/>
        </w:tabs>
        <w:spacing w:before="0"/>
        <w:ind w:left="720" w:hanging="540"/>
        <w:outlineLvl w:val="9"/>
        <w:rPr>
          <w:sz w:val="20"/>
        </w:rPr>
      </w:pPr>
      <w:r>
        <w:rPr>
          <w:sz w:val="20"/>
        </w:rPr>
        <w:t>Hook Hangers:  Integrated assembly matched to fixture and line connection and equipped with threaded attachment cord and locking-type plug.</w:t>
      </w:r>
    </w:p>
    <w:p w14:paraId="4E2E2AF5" w14:textId="77777777" w:rsidR="005F74AA" w:rsidRDefault="005F74AA">
      <w:pPr>
        <w:pStyle w:val="ART"/>
        <w:numPr>
          <w:ilvl w:val="3"/>
          <w:numId w:val="2"/>
        </w:numPr>
        <w:tabs>
          <w:tab w:val="clear" w:pos="864"/>
          <w:tab w:val="left" w:pos="720"/>
        </w:tabs>
        <w:ind w:left="720" w:hanging="720"/>
        <w:rPr>
          <w:sz w:val="20"/>
        </w:rPr>
      </w:pPr>
      <w:r>
        <w:rPr>
          <w:sz w:val="20"/>
        </w:rPr>
        <w:t>FINISHES</w:t>
      </w:r>
    </w:p>
    <w:p w14:paraId="5C32CC19" w14:textId="77777777" w:rsidR="005F74AA" w:rsidRDefault="005F74AA">
      <w:pPr>
        <w:pStyle w:val="CMT"/>
        <w:tabs>
          <w:tab w:val="left" w:pos="720"/>
        </w:tabs>
        <w:ind w:left="720" w:hanging="540"/>
        <w:rPr>
          <w:sz w:val="20"/>
        </w:rPr>
      </w:pPr>
      <w:r>
        <w:rPr>
          <w:sz w:val="20"/>
        </w:rPr>
        <w:t>Coordinate this Article with interior lighting fixture schedules or details.</w:t>
      </w:r>
    </w:p>
    <w:p w14:paraId="23CCC5C8" w14:textId="77777777" w:rsidR="005F74AA" w:rsidRDefault="005F74AA">
      <w:pPr>
        <w:pStyle w:val="PR1"/>
        <w:numPr>
          <w:ilvl w:val="4"/>
          <w:numId w:val="2"/>
        </w:numPr>
        <w:tabs>
          <w:tab w:val="left" w:pos="720"/>
        </w:tabs>
        <w:spacing w:before="0"/>
        <w:ind w:left="720" w:hanging="540"/>
        <w:outlineLvl w:val="9"/>
        <w:rPr>
          <w:sz w:val="20"/>
        </w:rPr>
      </w:pPr>
      <w:r>
        <w:rPr>
          <w:sz w:val="20"/>
        </w:rPr>
        <w:t>Fixtures:  Manufacturer's standard, unless otherwise indicated.</w:t>
      </w:r>
    </w:p>
    <w:p w14:paraId="01CC5650" w14:textId="77777777" w:rsidR="005F74AA" w:rsidRDefault="005F74AA">
      <w:pPr>
        <w:pStyle w:val="PR2"/>
        <w:numPr>
          <w:ilvl w:val="5"/>
          <w:numId w:val="2"/>
        </w:numPr>
        <w:tabs>
          <w:tab w:val="clear" w:pos="1440"/>
        </w:tabs>
        <w:ind w:left="1080" w:hanging="360"/>
        <w:rPr>
          <w:sz w:val="20"/>
        </w:rPr>
      </w:pPr>
      <w:r>
        <w:rPr>
          <w:sz w:val="20"/>
        </w:rPr>
        <w:t>Paint Finish:  Applied over corrosion-resistant treatment or primer, free of defects.</w:t>
      </w:r>
    </w:p>
    <w:p w14:paraId="1717E793" w14:textId="77777777" w:rsidR="005F74AA" w:rsidRDefault="005F74AA">
      <w:pPr>
        <w:pStyle w:val="PR2"/>
        <w:numPr>
          <w:ilvl w:val="5"/>
          <w:numId w:val="2"/>
        </w:numPr>
        <w:tabs>
          <w:tab w:val="clear" w:pos="1440"/>
        </w:tabs>
        <w:ind w:left="1080" w:hanging="360"/>
        <w:rPr>
          <w:sz w:val="20"/>
        </w:rPr>
      </w:pPr>
      <w:r>
        <w:rPr>
          <w:sz w:val="20"/>
        </w:rPr>
        <w:t>Metallic Finish:  Corrosion resistant.</w:t>
      </w:r>
    </w:p>
    <w:p w14:paraId="0B1BA1D6" w14:textId="77777777" w:rsidR="005F74AA" w:rsidRDefault="005F74AA">
      <w:pPr>
        <w:pStyle w:val="PRT"/>
        <w:numPr>
          <w:ilvl w:val="0"/>
          <w:numId w:val="2"/>
        </w:numPr>
        <w:rPr>
          <w:sz w:val="20"/>
        </w:rPr>
      </w:pPr>
      <w:r>
        <w:rPr>
          <w:sz w:val="20"/>
        </w:rPr>
        <w:t>EXECUTION</w:t>
      </w:r>
    </w:p>
    <w:p w14:paraId="3E1C5866" w14:textId="77777777" w:rsidR="005F74AA" w:rsidRDefault="005F74AA">
      <w:pPr>
        <w:pStyle w:val="ART"/>
        <w:numPr>
          <w:ilvl w:val="3"/>
          <w:numId w:val="3"/>
        </w:numPr>
        <w:tabs>
          <w:tab w:val="clear" w:pos="864"/>
          <w:tab w:val="left" w:pos="720"/>
        </w:tabs>
        <w:ind w:left="720" w:hanging="720"/>
        <w:rPr>
          <w:sz w:val="20"/>
        </w:rPr>
      </w:pPr>
      <w:r>
        <w:rPr>
          <w:sz w:val="20"/>
        </w:rPr>
        <w:t>INSTALLATION</w:t>
      </w:r>
    </w:p>
    <w:p w14:paraId="607809BC" w14:textId="77777777" w:rsidR="005F74AA" w:rsidRDefault="005F74AA">
      <w:pPr>
        <w:pStyle w:val="CMT"/>
        <w:tabs>
          <w:tab w:val="left" w:pos="720"/>
        </w:tabs>
        <w:ind w:left="720" w:hanging="540"/>
        <w:rPr>
          <w:sz w:val="20"/>
        </w:rPr>
      </w:pPr>
      <w:r>
        <w:rPr>
          <w:sz w:val="20"/>
        </w:rPr>
        <w:t>NFPA 70 requires minimum support for fixtures.  Retain paragraphs and subparagraphs below for more specific support requirements and for requirements exceeding code minimums.  Units in seismic zones must have additional supports and restraining devices beyond those specified here.  See Editing Instruction No. 3 in the Evaluations.</w:t>
      </w:r>
    </w:p>
    <w:p w14:paraId="781A527A" w14:textId="77777777" w:rsidR="005F74AA" w:rsidRDefault="005F74AA">
      <w:pPr>
        <w:pStyle w:val="PR1"/>
        <w:numPr>
          <w:ilvl w:val="4"/>
          <w:numId w:val="3"/>
        </w:numPr>
        <w:tabs>
          <w:tab w:val="left" w:pos="720"/>
        </w:tabs>
        <w:spacing w:before="0"/>
        <w:ind w:left="720" w:hanging="540"/>
        <w:outlineLvl w:val="9"/>
        <w:rPr>
          <w:sz w:val="20"/>
        </w:rPr>
      </w:pPr>
      <w:r>
        <w:rPr>
          <w:sz w:val="20"/>
        </w:rPr>
        <w:t>Support for Fixtures in or on Grid-Type Suspended Ceilings:  Support fixture using grid plus the following:</w:t>
      </w:r>
    </w:p>
    <w:p w14:paraId="24DB02B7" w14:textId="77777777" w:rsidR="005F74AA" w:rsidRDefault="005F74AA">
      <w:pPr>
        <w:pStyle w:val="PR2"/>
        <w:numPr>
          <w:ilvl w:val="5"/>
          <w:numId w:val="3"/>
        </w:numPr>
        <w:tabs>
          <w:tab w:val="clear" w:pos="1440"/>
          <w:tab w:val="num" w:pos="1080"/>
        </w:tabs>
        <w:ind w:left="1080" w:hanging="360"/>
        <w:rPr>
          <w:sz w:val="20"/>
        </w:rPr>
      </w:pPr>
      <w:r>
        <w:rPr>
          <w:sz w:val="20"/>
        </w:rPr>
        <w:t xml:space="preserve">Install a minimum of four ceiling support system rods or wires for each fixture.  Locate not more than </w:t>
      </w:r>
      <w:r>
        <w:rPr>
          <w:rStyle w:val="IP"/>
          <w:sz w:val="20"/>
        </w:rPr>
        <w:t>6 inches</w:t>
      </w:r>
      <w:r>
        <w:rPr>
          <w:sz w:val="20"/>
        </w:rPr>
        <w:t xml:space="preserve"> from fixture corners.</w:t>
      </w:r>
    </w:p>
    <w:p w14:paraId="0103EBA5" w14:textId="77777777" w:rsidR="005F74AA" w:rsidRDefault="005F74AA">
      <w:pPr>
        <w:pStyle w:val="PR2"/>
        <w:numPr>
          <w:ilvl w:val="5"/>
          <w:numId w:val="3"/>
        </w:numPr>
        <w:tabs>
          <w:tab w:val="clear" w:pos="1440"/>
          <w:tab w:val="num" w:pos="1080"/>
        </w:tabs>
        <w:ind w:left="1080" w:hanging="360"/>
        <w:rPr>
          <w:sz w:val="20"/>
        </w:rPr>
      </w:pPr>
      <w:r>
        <w:rPr>
          <w:sz w:val="20"/>
        </w:rPr>
        <w:t>Support Clips:  Fasten to fixtures and to ceiling grid members at or near each fixture corner.</w:t>
      </w:r>
    </w:p>
    <w:p w14:paraId="0E73BF28" w14:textId="77777777" w:rsidR="005F74AA" w:rsidRDefault="005F74AA">
      <w:pPr>
        <w:pStyle w:val="PR2"/>
        <w:numPr>
          <w:ilvl w:val="5"/>
          <w:numId w:val="3"/>
        </w:numPr>
        <w:tabs>
          <w:tab w:val="clear" w:pos="1440"/>
          <w:tab w:val="num" w:pos="1080"/>
        </w:tabs>
        <w:ind w:left="1080" w:hanging="360"/>
        <w:rPr>
          <w:sz w:val="20"/>
        </w:rPr>
      </w:pPr>
      <w:r>
        <w:rPr>
          <w:sz w:val="20"/>
        </w:rPr>
        <w:t xml:space="preserve">Fixtures of Sizes Less Than Ceiling Grid:  Arrange as indicated on reflected ceiling plans or center in acoustical panel, and support fixtures independently of panel, with at least two </w:t>
      </w:r>
      <w:r>
        <w:rPr>
          <w:rStyle w:val="IP"/>
          <w:sz w:val="20"/>
        </w:rPr>
        <w:t>3/4-inch</w:t>
      </w:r>
      <w:r>
        <w:rPr>
          <w:sz w:val="20"/>
        </w:rPr>
        <w:t xml:space="preserve"> metal channels spanning and secured to ceiling tees.</w:t>
      </w:r>
    </w:p>
    <w:p w14:paraId="09792D70" w14:textId="77777777" w:rsidR="005F74AA" w:rsidRDefault="005F74AA">
      <w:pPr>
        <w:pStyle w:val="PR1"/>
        <w:numPr>
          <w:ilvl w:val="4"/>
          <w:numId w:val="3"/>
        </w:numPr>
        <w:tabs>
          <w:tab w:val="clear" w:pos="864"/>
          <w:tab w:val="num" w:pos="720"/>
        </w:tabs>
        <w:spacing w:before="0"/>
        <w:ind w:left="720" w:hanging="540"/>
        <w:outlineLvl w:val="9"/>
        <w:rPr>
          <w:sz w:val="20"/>
        </w:rPr>
      </w:pPr>
      <w:r>
        <w:rPr>
          <w:sz w:val="20"/>
        </w:rPr>
        <w:t>Suspended Fixture Support:</w:t>
      </w:r>
    </w:p>
    <w:p w14:paraId="08D0E0BE" w14:textId="77777777" w:rsidR="005F74AA" w:rsidRDefault="005F74AA">
      <w:pPr>
        <w:pStyle w:val="PR2"/>
        <w:numPr>
          <w:ilvl w:val="5"/>
          <w:numId w:val="3"/>
        </w:numPr>
        <w:tabs>
          <w:tab w:val="clear" w:pos="1440"/>
        </w:tabs>
        <w:ind w:left="1080" w:hanging="360"/>
        <w:rPr>
          <w:sz w:val="20"/>
        </w:rPr>
      </w:pPr>
      <w:r>
        <w:rPr>
          <w:sz w:val="20"/>
        </w:rPr>
        <w:t>Support Clips:  Fasten to fixtures and to ceiling grid members.</w:t>
      </w:r>
    </w:p>
    <w:p w14:paraId="504A99F3" w14:textId="77777777" w:rsidR="005F74AA" w:rsidRDefault="005F74AA">
      <w:pPr>
        <w:pStyle w:val="ART"/>
        <w:numPr>
          <w:ilvl w:val="3"/>
          <w:numId w:val="3"/>
        </w:numPr>
        <w:tabs>
          <w:tab w:val="clear" w:pos="864"/>
          <w:tab w:val="left" w:pos="720"/>
        </w:tabs>
        <w:ind w:left="720" w:hanging="720"/>
        <w:rPr>
          <w:sz w:val="20"/>
        </w:rPr>
      </w:pPr>
      <w:r>
        <w:rPr>
          <w:sz w:val="20"/>
        </w:rPr>
        <w:t>FIELD QUALITY CONTROL</w:t>
      </w:r>
    </w:p>
    <w:p w14:paraId="5900D4F5" w14:textId="77777777" w:rsidR="005F74AA" w:rsidRDefault="005F74AA">
      <w:pPr>
        <w:pStyle w:val="PR1"/>
        <w:numPr>
          <w:ilvl w:val="4"/>
          <w:numId w:val="3"/>
        </w:numPr>
        <w:tabs>
          <w:tab w:val="clear" w:pos="864"/>
        </w:tabs>
        <w:spacing w:before="0"/>
        <w:ind w:left="720" w:hanging="540"/>
        <w:outlineLvl w:val="9"/>
        <w:rPr>
          <w:sz w:val="20"/>
        </w:rPr>
      </w:pPr>
      <w:r>
        <w:rPr>
          <w:sz w:val="20"/>
        </w:rPr>
        <w:t>Tests:</w:t>
      </w:r>
    </w:p>
    <w:p w14:paraId="0FF69CB7" w14:textId="77777777" w:rsidR="005F74AA" w:rsidRDefault="005F74AA">
      <w:pPr>
        <w:pStyle w:val="PR2"/>
        <w:numPr>
          <w:ilvl w:val="5"/>
          <w:numId w:val="3"/>
        </w:numPr>
        <w:tabs>
          <w:tab w:val="clear" w:pos="1440"/>
        </w:tabs>
        <w:ind w:left="1080" w:hanging="360"/>
        <w:rPr>
          <w:sz w:val="20"/>
        </w:rPr>
      </w:pPr>
      <w:r>
        <w:rPr>
          <w:sz w:val="20"/>
        </w:rPr>
        <w:t>Verify normal operation of each fixture after installation.</w:t>
      </w:r>
    </w:p>
    <w:p w14:paraId="02E6C691" w14:textId="77777777" w:rsidR="005F74AA" w:rsidRDefault="005F74AA">
      <w:pPr>
        <w:pStyle w:val="PR2"/>
        <w:numPr>
          <w:ilvl w:val="5"/>
          <w:numId w:val="3"/>
        </w:numPr>
        <w:tabs>
          <w:tab w:val="clear" w:pos="1440"/>
        </w:tabs>
        <w:ind w:left="1080" w:hanging="360"/>
        <w:rPr>
          <w:sz w:val="20"/>
        </w:rPr>
      </w:pPr>
      <w:r>
        <w:rPr>
          <w:sz w:val="20"/>
        </w:rPr>
        <w:t>Emergency Lighting:  Interrupt electrical supply to demonstrate proper operation. Verify normal transfer to emergency source and retransfer to normal.</w:t>
      </w:r>
    </w:p>
    <w:p w14:paraId="6A5C50FC" w14:textId="77777777" w:rsidR="005F74AA" w:rsidRDefault="005F74AA">
      <w:pPr>
        <w:pStyle w:val="PR1"/>
        <w:numPr>
          <w:ilvl w:val="4"/>
          <w:numId w:val="3"/>
        </w:numPr>
        <w:tabs>
          <w:tab w:val="clear" w:pos="864"/>
        </w:tabs>
        <w:spacing w:before="0"/>
        <w:ind w:left="720" w:hanging="540"/>
        <w:outlineLvl w:val="9"/>
        <w:rPr>
          <w:sz w:val="20"/>
        </w:rPr>
      </w:pPr>
      <w:r>
        <w:rPr>
          <w:sz w:val="20"/>
        </w:rPr>
        <w:t>Defective and Malfunctioning Fixtures and Components:  Replace or repair, then retest.  Repeat procedure until units are acceptable.</w:t>
      </w:r>
    </w:p>
    <w:p w14:paraId="729BC91C" w14:textId="77777777" w:rsidR="005F74AA" w:rsidRDefault="005F74AA">
      <w:pPr>
        <w:pStyle w:val="ART"/>
        <w:numPr>
          <w:ilvl w:val="3"/>
          <w:numId w:val="3"/>
        </w:numPr>
        <w:tabs>
          <w:tab w:val="clear" w:pos="864"/>
          <w:tab w:val="left" w:pos="720"/>
        </w:tabs>
        <w:ind w:left="720" w:hanging="720"/>
        <w:rPr>
          <w:sz w:val="20"/>
        </w:rPr>
      </w:pPr>
      <w:r>
        <w:rPr>
          <w:sz w:val="20"/>
        </w:rPr>
        <w:t>ADJUSTING</w:t>
      </w:r>
    </w:p>
    <w:p w14:paraId="5D7F27CA" w14:textId="77777777" w:rsidR="005F74AA" w:rsidRDefault="005F74AA">
      <w:pPr>
        <w:pStyle w:val="PR1"/>
        <w:numPr>
          <w:ilvl w:val="4"/>
          <w:numId w:val="3"/>
        </w:numPr>
        <w:tabs>
          <w:tab w:val="clear" w:pos="864"/>
        </w:tabs>
        <w:spacing w:before="0"/>
        <w:ind w:left="720" w:hanging="540"/>
        <w:outlineLvl w:val="9"/>
        <w:rPr>
          <w:sz w:val="20"/>
        </w:rPr>
      </w:pPr>
      <w:r>
        <w:rPr>
          <w:sz w:val="20"/>
        </w:rPr>
        <w:t>Adjust aimable fixtures to provide required light intensities.</w:t>
      </w:r>
    </w:p>
    <w:p w14:paraId="72264A85" w14:textId="77777777" w:rsidR="005F74AA" w:rsidRDefault="005F74AA">
      <w:pPr>
        <w:pStyle w:val="EOS"/>
        <w:jc w:val="center"/>
        <w:rPr>
          <w:sz w:val="20"/>
        </w:rPr>
      </w:pPr>
      <w:r>
        <w:rPr>
          <w:sz w:val="20"/>
        </w:rPr>
        <w:t>END OF SECTION 16511</w:t>
      </w:r>
    </w:p>
    <w:p w14:paraId="4205BDDD" w14:textId="77777777" w:rsidR="005F74AA" w:rsidRDefault="005F74AA">
      <w:pPr>
        <w:pStyle w:val="Title"/>
      </w:pPr>
    </w:p>
    <w:sectPr w:rsidR="005F74AA" w:rsidSect="009047FE">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74BD" w14:textId="77777777" w:rsidR="00AA1A7F" w:rsidRDefault="00AA1A7F">
      <w:r>
        <w:separator/>
      </w:r>
    </w:p>
  </w:endnote>
  <w:endnote w:type="continuationSeparator" w:id="0">
    <w:p w14:paraId="70091C79" w14:textId="77777777" w:rsidR="00AA1A7F" w:rsidRDefault="00AA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F412" w14:textId="77777777" w:rsidR="00E61338" w:rsidRDefault="00E61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B299" w14:textId="77777777" w:rsidR="005F74AA" w:rsidRDefault="005F74AA">
    <w:pPr>
      <w:pStyle w:val="FTR"/>
      <w:tabs>
        <w:tab w:val="center" w:pos="4680"/>
      </w:tabs>
      <w:rPr>
        <w:b/>
        <w:sz w:val="20"/>
      </w:rPr>
    </w:pPr>
    <w:r>
      <w:rPr>
        <w:b/>
        <w:sz w:val="20"/>
      </w:rPr>
      <w:t>INTERIOR LIGHTING</w:t>
    </w:r>
    <w:r>
      <w:rPr>
        <w:b/>
        <w:sz w:val="20"/>
      </w:rPr>
      <w:tab/>
    </w:r>
    <w:r>
      <w:rPr>
        <w:b/>
        <w:sz w:val="20"/>
      </w:rPr>
      <w:tab/>
      <w:t>16511-</w:t>
    </w:r>
    <w:r w:rsidR="005B6347">
      <w:rPr>
        <w:b/>
        <w:sz w:val="20"/>
      </w:rPr>
      <w:fldChar w:fldCharType="begin"/>
    </w:r>
    <w:r>
      <w:rPr>
        <w:b/>
        <w:sz w:val="20"/>
      </w:rPr>
      <w:instrText xml:space="preserve"> PAGE  \* MERGEFORMAT </w:instrText>
    </w:r>
    <w:r w:rsidR="005B6347">
      <w:rPr>
        <w:b/>
        <w:sz w:val="20"/>
      </w:rPr>
      <w:fldChar w:fldCharType="separate"/>
    </w:r>
    <w:r w:rsidR="00B6512E">
      <w:rPr>
        <w:b/>
        <w:noProof/>
        <w:sz w:val="20"/>
      </w:rPr>
      <w:t>1</w:t>
    </w:r>
    <w:r w:rsidR="005B6347">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0422" w14:textId="77777777" w:rsidR="00E61338" w:rsidRDefault="00E6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3744" w14:textId="77777777" w:rsidR="00AA1A7F" w:rsidRDefault="00AA1A7F">
      <w:r>
        <w:separator/>
      </w:r>
    </w:p>
  </w:footnote>
  <w:footnote w:type="continuationSeparator" w:id="0">
    <w:p w14:paraId="3D45F38C" w14:textId="77777777" w:rsidR="00AA1A7F" w:rsidRDefault="00AA1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9D74" w14:textId="77777777" w:rsidR="00E61338" w:rsidRDefault="00E61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F68B" w14:textId="2123FFAF" w:rsidR="005F74AA" w:rsidRDefault="005F74AA">
    <w:pPr>
      <w:pStyle w:val="HDR"/>
      <w:rPr>
        <w:b/>
        <w:sz w:val="20"/>
      </w:rPr>
    </w:pPr>
    <w:r>
      <w:rPr>
        <w:b/>
        <w:sz w:val="20"/>
      </w:rPr>
      <w:t xml:space="preserve">LOWE'S OF </w:t>
    </w:r>
    <w:r w:rsidR="00E61338">
      <w:rPr>
        <w:b/>
        <w:sz w:val="20"/>
      </w:rPr>
      <w:t>WESTIELD, FL.</w:t>
    </w:r>
    <w:r>
      <w:rPr>
        <w:b/>
        <w:sz w:val="20"/>
      </w:rPr>
      <w:tab/>
    </w:r>
    <w:r>
      <w:rPr>
        <w:b/>
        <w:sz w:val="20"/>
      </w:rPr>
      <w:tab/>
    </w:r>
    <w:r w:rsidR="00B6512E">
      <w:rPr>
        <w:b/>
        <w:sz w:val="20"/>
      </w:rPr>
      <w:t>06</w:t>
    </w:r>
    <w:r w:rsidR="00515B89">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ED2A" w14:textId="77777777" w:rsidR="00E61338" w:rsidRDefault="00E61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DBA6F3E"/>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607469051">
    <w:abstractNumId w:val="0"/>
  </w:num>
  <w:num w:numId="2" w16cid:durableId="1575777302">
    <w:abstractNumId w:val="0"/>
    <w:lvlOverride w:ilvl="0">
      <w:lvl w:ilvl="0">
        <w:start w:val="1"/>
        <w:numFmt w:val="decimal"/>
        <w:pStyle w:val="PRT"/>
        <w:suff w:val="nothing"/>
        <w:lvlText w:val="PART %1 - "/>
        <w:lvlJc w:val="left"/>
        <w:pPr>
          <w:ind w:left="0" w:firstLine="0"/>
        </w:pPr>
      </w:lvl>
    </w:lvlOverride>
    <w:lvlOverride w:ilvl="1">
      <w:lvl w:ilvl="1">
        <w:numFmt w:val="decimal"/>
        <w:pStyle w:val="SUT"/>
        <w:suff w:val="nothing"/>
        <w:lvlText w:val="SCHEDULE %2 - "/>
        <w:lvlJc w:val="left"/>
        <w:pPr>
          <w:ind w:left="0" w:firstLine="0"/>
        </w:pPr>
      </w:lvl>
    </w:lvlOverride>
    <w:lvlOverride w:ilvl="2">
      <w:lvl w:ilvl="2">
        <w:numFmt w:val="decimal"/>
        <w:pStyle w:val="DST"/>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upperLetter"/>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lvl>
    </w:lvlOverride>
    <w:lvlOverride w:ilvl="6">
      <w:lvl w:ilvl="6">
        <w:start w:val="1"/>
        <w:numFmt w:val="lowerLetter"/>
        <w:pStyle w:val="PR3"/>
        <w:lvlText w:val="%7."/>
        <w:lvlJc w:val="left"/>
        <w:pPr>
          <w:tabs>
            <w:tab w:val="num" w:pos="2016"/>
          </w:tabs>
          <w:ind w:left="2016" w:hanging="576"/>
        </w:pPr>
      </w:lvl>
    </w:lvlOverride>
    <w:lvlOverride w:ilvl="7">
      <w:lvl w:ilvl="7">
        <w:start w:val="1"/>
        <w:numFmt w:val="decimal"/>
        <w:pStyle w:val="PR4"/>
        <w:lvlText w:val="%8)"/>
        <w:lvlJc w:val="left"/>
        <w:pPr>
          <w:tabs>
            <w:tab w:val="num" w:pos="2592"/>
          </w:tabs>
          <w:ind w:left="2592" w:hanging="576"/>
        </w:pPr>
      </w:lvl>
    </w:lvlOverride>
    <w:lvlOverride w:ilvl="8">
      <w:lvl w:ilvl="8">
        <w:start w:val="1"/>
        <w:numFmt w:val="lowerLetter"/>
        <w:pStyle w:val="PR5"/>
        <w:lvlText w:val="%9)"/>
        <w:lvlJc w:val="left"/>
        <w:pPr>
          <w:tabs>
            <w:tab w:val="num" w:pos="3168"/>
          </w:tabs>
          <w:ind w:left="3168" w:hanging="576"/>
        </w:pPr>
      </w:lvl>
    </w:lvlOverride>
  </w:num>
  <w:num w:numId="3" w16cid:durableId="1297181944">
    <w:abstractNumId w:val="0"/>
    <w:lvlOverride w:ilvl="0">
      <w:lvl w:ilvl="0">
        <w:start w:val="1"/>
        <w:numFmt w:val="decimal"/>
        <w:pStyle w:val="PRT"/>
        <w:suff w:val="nothing"/>
        <w:lvlText w:val="PART %1 - "/>
        <w:lvlJc w:val="left"/>
        <w:pPr>
          <w:ind w:left="0" w:firstLine="0"/>
        </w:pPr>
      </w:lvl>
    </w:lvlOverride>
    <w:lvlOverride w:ilvl="1">
      <w:lvl w:ilvl="1">
        <w:numFmt w:val="decimal"/>
        <w:pStyle w:val="SUT"/>
        <w:suff w:val="nothing"/>
        <w:lvlText w:val="SCHEDULE %2 - "/>
        <w:lvlJc w:val="left"/>
        <w:pPr>
          <w:ind w:left="0" w:firstLine="0"/>
        </w:pPr>
      </w:lvl>
    </w:lvlOverride>
    <w:lvlOverride w:ilvl="2">
      <w:lvl w:ilvl="2">
        <w:numFmt w:val="decimal"/>
        <w:pStyle w:val="DST"/>
        <w:suff w:val="nothing"/>
        <w:lvlText w:val="PRODUCT DATA SHEET %3 - "/>
        <w:lvlJc w:val="left"/>
        <w:pPr>
          <w:ind w:left="0" w:firstLine="0"/>
        </w:pPr>
      </w:lvl>
    </w:lvlOverride>
    <w:lvlOverride w:ilvl="3">
      <w:lvl w:ilvl="3">
        <w:start w:val="1"/>
        <w:numFmt w:val="decimal"/>
        <w:pStyle w:val="ART"/>
        <w:lvlText w:val="%1.0%4"/>
        <w:lvlJc w:val="left"/>
        <w:pPr>
          <w:tabs>
            <w:tab w:val="num" w:pos="864"/>
          </w:tabs>
          <w:ind w:left="864" w:hanging="864"/>
        </w:pPr>
      </w:lvl>
    </w:lvlOverride>
    <w:lvlOverride w:ilvl="4">
      <w:lvl w:ilvl="4">
        <w:start w:val="1"/>
        <w:numFmt w:val="upperLetter"/>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lvl>
    </w:lvlOverride>
    <w:lvlOverride w:ilvl="6">
      <w:lvl w:ilvl="6">
        <w:start w:val="1"/>
        <w:numFmt w:val="lowerLetter"/>
        <w:pStyle w:val="PR3"/>
        <w:lvlText w:val="%7."/>
        <w:lvlJc w:val="left"/>
        <w:pPr>
          <w:tabs>
            <w:tab w:val="num" w:pos="2016"/>
          </w:tabs>
          <w:ind w:left="2016" w:hanging="576"/>
        </w:pPr>
      </w:lvl>
    </w:lvlOverride>
    <w:lvlOverride w:ilvl="7">
      <w:lvl w:ilvl="7">
        <w:start w:val="1"/>
        <w:numFmt w:val="decimal"/>
        <w:pStyle w:val="PR4"/>
        <w:lvlText w:val="%8)"/>
        <w:lvlJc w:val="left"/>
        <w:pPr>
          <w:tabs>
            <w:tab w:val="num" w:pos="2592"/>
          </w:tabs>
          <w:ind w:left="2592" w:hanging="576"/>
        </w:pPr>
      </w:lvl>
    </w:lvlOverride>
    <w:lvlOverride w:ilvl="8">
      <w:lvl w:ilvl="8">
        <w:start w:val="1"/>
        <w:numFmt w:val="lowerLetter"/>
        <w:pStyle w:val="PR5"/>
        <w:lvlText w:val="%9)"/>
        <w:lvlJc w:val="left"/>
        <w:pPr>
          <w:tabs>
            <w:tab w:val="num" w:pos="3168"/>
          </w:tabs>
          <w:ind w:left="3168" w:hanging="576"/>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9047FE"/>
    <w:rsid w:val="00033F28"/>
    <w:rsid w:val="000573CB"/>
    <w:rsid w:val="000631CC"/>
    <w:rsid w:val="000C0513"/>
    <w:rsid w:val="000C0F54"/>
    <w:rsid w:val="00122A99"/>
    <w:rsid w:val="00130F82"/>
    <w:rsid w:val="001407ED"/>
    <w:rsid w:val="00147A91"/>
    <w:rsid w:val="00156C89"/>
    <w:rsid w:val="00187AF3"/>
    <w:rsid w:val="00190211"/>
    <w:rsid w:val="001949E9"/>
    <w:rsid w:val="00197510"/>
    <w:rsid w:val="0022158F"/>
    <w:rsid w:val="002754A5"/>
    <w:rsid w:val="002761CB"/>
    <w:rsid w:val="002A4CB4"/>
    <w:rsid w:val="002B7221"/>
    <w:rsid w:val="00325B6A"/>
    <w:rsid w:val="003321E1"/>
    <w:rsid w:val="0036387C"/>
    <w:rsid w:val="003B657F"/>
    <w:rsid w:val="003D36D1"/>
    <w:rsid w:val="003E3BD1"/>
    <w:rsid w:val="003F5397"/>
    <w:rsid w:val="0041668D"/>
    <w:rsid w:val="004252BA"/>
    <w:rsid w:val="00431E18"/>
    <w:rsid w:val="004707D9"/>
    <w:rsid w:val="00471C3E"/>
    <w:rsid w:val="00484E7C"/>
    <w:rsid w:val="004A3C3A"/>
    <w:rsid w:val="004A63F0"/>
    <w:rsid w:val="004C2534"/>
    <w:rsid w:val="00515B89"/>
    <w:rsid w:val="00527320"/>
    <w:rsid w:val="005431B5"/>
    <w:rsid w:val="005854E5"/>
    <w:rsid w:val="005971E1"/>
    <w:rsid w:val="005A7FCF"/>
    <w:rsid w:val="005B6347"/>
    <w:rsid w:val="005E55A1"/>
    <w:rsid w:val="005F233D"/>
    <w:rsid w:val="005F74AA"/>
    <w:rsid w:val="0063795B"/>
    <w:rsid w:val="00651648"/>
    <w:rsid w:val="00656BB3"/>
    <w:rsid w:val="006A0654"/>
    <w:rsid w:val="006C2EA3"/>
    <w:rsid w:val="007062ED"/>
    <w:rsid w:val="00737167"/>
    <w:rsid w:val="0079000B"/>
    <w:rsid w:val="007955B2"/>
    <w:rsid w:val="007C3359"/>
    <w:rsid w:val="007C6803"/>
    <w:rsid w:val="007E0C8E"/>
    <w:rsid w:val="007E4758"/>
    <w:rsid w:val="008947E2"/>
    <w:rsid w:val="0089722E"/>
    <w:rsid w:val="009047FE"/>
    <w:rsid w:val="009532D9"/>
    <w:rsid w:val="00953646"/>
    <w:rsid w:val="009818E9"/>
    <w:rsid w:val="00984474"/>
    <w:rsid w:val="0099206D"/>
    <w:rsid w:val="009D139C"/>
    <w:rsid w:val="009E1C77"/>
    <w:rsid w:val="009E546D"/>
    <w:rsid w:val="00A33FA1"/>
    <w:rsid w:val="00A46902"/>
    <w:rsid w:val="00A672FE"/>
    <w:rsid w:val="00AA1A7F"/>
    <w:rsid w:val="00AE77D3"/>
    <w:rsid w:val="00AF6911"/>
    <w:rsid w:val="00B2499F"/>
    <w:rsid w:val="00B6512E"/>
    <w:rsid w:val="00BB2245"/>
    <w:rsid w:val="00C0225A"/>
    <w:rsid w:val="00C10BE4"/>
    <w:rsid w:val="00C26AEF"/>
    <w:rsid w:val="00C4039C"/>
    <w:rsid w:val="00C6513A"/>
    <w:rsid w:val="00C84D91"/>
    <w:rsid w:val="00C91FBD"/>
    <w:rsid w:val="00C953D2"/>
    <w:rsid w:val="00CA1063"/>
    <w:rsid w:val="00CA306B"/>
    <w:rsid w:val="00CA4AC3"/>
    <w:rsid w:val="00CE1DCF"/>
    <w:rsid w:val="00D24449"/>
    <w:rsid w:val="00D36DA2"/>
    <w:rsid w:val="00D40E2F"/>
    <w:rsid w:val="00D444C6"/>
    <w:rsid w:val="00DA685F"/>
    <w:rsid w:val="00DB4CE0"/>
    <w:rsid w:val="00DB5C54"/>
    <w:rsid w:val="00E101F5"/>
    <w:rsid w:val="00E36371"/>
    <w:rsid w:val="00E61338"/>
    <w:rsid w:val="00E9179D"/>
    <w:rsid w:val="00E93FE6"/>
    <w:rsid w:val="00E958A6"/>
    <w:rsid w:val="00EA147A"/>
    <w:rsid w:val="00ED1D67"/>
    <w:rsid w:val="00ED208A"/>
    <w:rsid w:val="00F16C33"/>
    <w:rsid w:val="00F20AE7"/>
    <w:rsid w:val="00F27C9D"/>
    <w:rsid w:val="00F61058"/>
    <w:rsid w:val="00F9480C"/>
    <w:rsid w:val="00FC3F15"/>
    <w:rsid w:val="00FE56A0"/>
    <w:rsid w:val="00FE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12122D7"/>
  <w15:docId w15:val="{E51A45AD-BE67-4E15-9B24-84A1BD1E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4" w:hanging="576"/>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1E1"/>
    <w:rPr>
      <w:sz w:val="22"/>
    </w:rPr>
  </w:style>
  <w:style w:type="paragraph" w:styleId="Heading1">
    <w:name w:val="heading 1"/>
    <w:basedOn w:val="Normal"/>
    <w:next w:val="Normal"/>
    <w:qFormat/>
    <w:rsid w:val="003321E1"/>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3321E1"/>
    <w:pPr>
      <w:tabs>
        <w:tab w:val="center" w:pos="4608"/>
        <w:tab w:val="right" w:pos="9360"/>
      </w:tabs>
      <w:suppressAutoHyphens/>
    </w:pPr>
  </w:style>
  <w:style w:type="paragraph" w:customStyle="1" w:styleId="FTR">
    <w:name w:val="FTR"/>
    <w:basedOn w:val="Normal"/>
    <w:next w:val="SCT"/>
    <w:rsid w:val="003321E1"/>
    <w:pPr>
      <w:tabs>
        <w:tab w:val="right" w:pos="9360"/>
      </w:tabs>
      <w:suppressAutoHyphens/>
    </w:pPr>
  </w:style>
  <w:style w:type="paragraph" w:customStyle="1" w:styleId="SCT">
    <w:name w:val="SCT"/>
    <w:basedOn w:val="Normal"/>
    <w:next w:val="PRT"/>
    <w:rsid w:val="003321E1"/>
    <w:pPr>
      <w:suppressAutoHyphens/>
      <w:spacing w:before="240"/>
    </w:pPr>
  </w:style>
  <w:style w:type="paragraph" w:customStyle="1" w:styleId="PRT">
    <w:name w:val="PRT"/>
    <w:basedOn w:val="Normal"/>
    <w:next w:val="ART"/>
    <w:rsid w:val="003321E1"/>
    <w:pPr>
      <w:numPr>
        <w:numId w:val="1"/>
      </w:numPr>
      <w:suppressAutoHyphens/>
      <w:spacing w:before="240"/>
      <w:outlineLvl w:val="0"/>
    </w:pPr>
  </w:style>
  <w:style w:type="paragraph" w:customStyle="1" w:styleId="SUT">
    <w:name w:val="SUT"/>
    <w:basedOn w:val="Normal"/>
    <w:next w:val="PR1"/>
    <w:rsid w:val="003321E1"/>
    <w:pPr>
      <w:numPr>
        <w:ilvl w:val="1"/>
        <w:numId w:val="1"/>
      </w:numPr>
      <w:suppressAutoHyphens/>
      <w:spacing w:before="240"/>
      <w:outlineLvl w:val="0"/>
    </w:pPr>
  </w:style>
  <w:style w:type="paragraph" w:customStyle="1" w:styleId="DST">
    <w:name w:val="DST"/>
    <w:basedOn w:val="Normal"/>
    <w:next w:val="PR1"/>
    <w:rsid w:val="003321E1"/>
    <w:pPr>
      <w:numPr>
        <w:ilvl w:val="2"/>
        <w:numId w:val="1"/>
      </w:numPr>
      <w:suppressAutoHyphens/>
      <w:spacing w:before="240"/>
      <w:outlineLvl w:val="0"/>
    </w:pPr>
  </w:style>
  <w:style w:type="paragraph" w:customStyle="1" w:styleId="ART">
    <w:name w:val="ART"/>
    <w:basedOn w:val="Normal"/>
    <w:next w:val="PR1"/>
    <w:rsid w:val="003321E1"/>
    <w:pPr>
      <w:numPr>
        <w:ilvl w:val="3"/>
        <w:numId w:val="1"/>
      </w:numPr>
      <w:suppressAutoHyphens/>
      <w:spacing w:before="240"/>
      <w:outlineLvl w:val="1"/>
    </w:pPr>
  </w:style>
  <w:style w:type="paragraph" w:customStyle="1" w:styleId="PR1">
    <w:name w:val="PR1"/>
    <w:basedOn w:val="Normal"/>
    <w:rsid w:val="003321E1"/>
    <w:pPr>
      <w:numPr>
        <w:ilvl w:val="4"/>
        <w:numId w:val="1"/>
      </w:numPr>
      <w:suppressAutoHyphens/>
      <w:spacing w:before="240"/>
      <w:outlineLvl w:val="2"/>
    </w:pPr>
  </w:style>
  <w:style w:type="paragraph" w:customStyle="1" w:styleId="PR2">
    <w:name w:val="PR2"/>
    <w:basedOn w:val="Normal"/>
    <w:rsid w:val="003321E1"/>
    <w:pPr>
      <w:numPr>
        <w:ilvl w:val="5"/>
        <w:numId w:val="1"/>
      </w:numPr>
      <w:suppressAutoHyphens/>
      <w:outlineLvl w:val="3"/>
    </w:pPr>
  </w:style>
  <w:style w:type="paragraph" w:customStyle="1" w:styleId="PR3">
    <w:name w:val="PR3"/>
    <w:basedOn w:val="Normal"/>
    <w:rsid w:val="003321E1"/>
    <w:pPr>
      <w:numPr>
        <w:ilvl w:val="6"/>
        <w:numId w:val="1"/>
      </w:numPr>
      <w:suppressAutoHyphens/>
      <w:outlineLvl w:val="4"/>
    </w:pPr>
  </w:style>
  <w:style w:type="paragraph" w:customStyle="1" w:styleId="PR4">
    <w:name w:val="PR4"/>
    <w:basedOn w:val="Normal"/>
    <w:rsid w:val="003321E1"/>
    <w:pPr>
      <w:numPr>
        <w:ilvl w:val="7"/>
        <w:numId w:val="1"/>
      </w:numPr>
      <w:suppressAutoHyphens/>
      <w:outlineLvl w:val="5"/>
    </w:pPr>
  </w:style>
  <w:style w:type="paragraph" w:customStyle="1" w:styleId="PR5">
    <w:name w:val="PR5"/>
    <w:basedOn w:val="Normal"/>
    <w:rsid w:val="003321E1"/>
    <w:pPr>
      <w:numPr>
        <w:ilvl w:val="8"/>
        <w:numId w:val="1"/>
      </w:numPr>
      <w:suppressAutoHyphens/>
      <w:outlineLvl w:val="6"/>
    </w:pPr>
  </w:style>
  <w:style w:type="paragraph" w:customStyle="1" w:styleId="TB1">
    <w:name w:val="TB1"/>
    <w:basedOn w:val="Normal"/>
    <w:next w:val="PR1"/>
    <w:rsid w:val="003321E1"/>
    <w:pPr>
      <w:suppressAutoHyphens/>
      <w:spacing w:before="240"/>
      <w:ind w:left="288"/>
    </w:pPr>
  </w:style>
  <w:style w:type="paragraph" w:customStyle="1" w:styleId="TB2">
    <w:name w:val="TB2"/>
    <w:basedOn w:val="Normal"/>
    <w:next w:val="PR2"/>
    <w:rsid w:val="003321E1"/>
    <w:pPr>
      <w:suppressAutoHyphens/>
      <w:spacing w:before="240"/>
    </w:pPr>
  </w:style>
  <w:style w:type="paragraph" w:customStyle="1" w:styleId="TB3">
    <w:name w:val="TB3"/>
    <w:basedOn w:val="Normal"/>
    <w:next w:val="PR3"/>
    <w:rsid w:val="003321E1"/>
    <w:pPr>
      <w:suppressAutoHyphens/>
      <w:spacing w:before="240"/>
      <w:ind w:left="1440"/>
    </w:pPr>
  </w:style>
  <w:style w:type="paragraph" w:customStyle="1" w:styleId="TB4">
    <w:name w:val="TB4"/>
    <w:basedOn w:val="Normal"/>
    <w:next w:val="PR4"/>
    <w:rsid w:val="003321E1"/>
    <w:pPr>
      <w:suppressAutoHyphens/>
      <w:spacing w:before="240"/>
      <w:ind w:left="2016"/>
    </w:pPr>
  </w:style>
  <w:style w:type="paragraph" w:customStyle="1" w:styleId="TB5">
    <w:name w:val="TB5"/>
    <w:basedOn w:val="Normal"/>
    <w:next w:val="PR5"/>
    <w:rsid w:val="003321E1"/>
    <w:pPr>
      <w:suppressAutoHyphens/>
      <w:spacing w:before="240"/>
      <w:ind w:left="2592"/>
    </w:pPr>
  </w:style>
  <w:style w:type="paragraph" w:customStyle="1" w:styleId="TCH">
    <w:name w:val="TCH"/>
    <w:basedOn w:val="Normal"/>
    <w:rsid w:val="003321E1"/>
    <w:pPr>
      <w:suppressAutoHyphens/>
    </w:pPr>
  </w:style>
  <w:style w:type="paragraph" w:customStyle="1" w:styleId="TCE">
    <w:name w:val="TCE"/>
    <w:basedOn w:val="Normal"/>
    <w:rsid w:val="003321E1"/>
    <w:pPr>
      <w:suppressAutoHyphens/>
      <w:ind w:left="144" w:hanging="144"/>
    </w:pPr>
  </w:style>
  <w:style w:type="paragraph" w:customStyle="1" w:styleId="EOS">
    <w:name w:val="EOS"/>
    <w:basedOn w:val="Normal"/>
    <w:rsid w:val="003321E1"/>
    <w:pPr>
      <w:suppressAutoHyphens/>
      <w:spacing w:before="240"/>
    </w:pPr>
  </w:style>
  <w:style w:type="paragraph" w:customStyle="1" w:styleId="CMT">
    <w:name w:val="CMT"/>
    <w:basedOn w:val="Normal"/>
    <w:rsid w:val="003321E1"/>
    <w:pPr>
      <w:suppressAutoHyphens/>
      <w:spacing w:before="240"/>
    </w:pPr>
    <w:rPr>
      <w:vanish/>
      <w:color w:val="0000FF"/>
    </w:rPr>
  </w:style>
  <w:style w:type="character" w:customStyle="1" w:styleId="SI">
    <w:name w:val="SI"/>
    <w:basedOn w:val="DefaultParagraphFont"/>
    <w:rsid w:val="003321E1"/>
    <w:rPr>
      <w:color w:val="auto"/>
    </w:rPr>
  </w:style>
  <w:style w:type="character" w:customStyle="1" w:styleId="IP">
    <w:name w:val="IP"/>
    <w:basedOn w:val="DefaultParagraphFont"/>
    <w:rsid w:val="003321E1"/>
    <w:rPr>
      <w:color w:val="000000"/>
    </w:rPr>
  </w:style>
  <w:style w:type="paragraph" w:styleId="Header">
    <w:name w:val="header"/>
    <w:basedOn w:val="Normal"/>
    <w:rsid w:val="003321E1"/>
    <w:pPr>
      <w:tabs>
        <w:tab w:val="center" w:pos="4320"/>
        <w:tab w:val="right" w:pos="8640"/>
      </w:tabs>
    </w:pPr>
  </w:style>
  <w:style w:type="paragraph" w:styleId="Footer">
    <w:name w:val="footer"/>
    <w:basedOn w:val="Normal"/>
    <w:rsid w:val="003321E1"/>
    <w:pPr>
      <w:tabs>
        <w:tab w:val="center" w:pos="4320"/>
        <w:tab w:val="right" w:pos="8640"/>
      </w:tabs>
    </w:pPr>
  </w:style>
  <w:style w:type="paragraph" w:styleId="Title">
    <w:name w:val="Title"/>
    <w:basedOn w:val="Normal"/>
    <w:qFormat/>
    <w:rsid w:val="003321E1"/>
    <w:pPr>
      <w:jc w:val="center"/>
    </w:pPr>
    <w:rPr>
      <w:b/>
      <w:sz w:val="24"/>
      <w:u w:val="single"/>
    </w:rPr>
  </w:style>
  <w:style w:type="paragraph" w:styleId="BodyText">
    <w:name w:val="Body Text"/>
    <w:basedOn w:val="Normal"/>
    <w:rsid w:val="003321E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B79330F4-04FE-4EE1-AD4B-D094B95A561C}"/>
</file>

<file path=customXml/itemProps2.xml><?xml version="1.0" encoding="utf-8"?>
<ds:datastoreItem xmlns:ds="http://schemas.openxmlformats.org/officeDocument/2006/customXml" ds:itemID="{85A31964-800A-40A3-AF95-17BD8B8F95CA}"/>
</file>

<file path=customXml/itemProps3.xml><?xml version="1.0" encoding="utf-8"?>
<ds:datastoreItem xmlns:ds="http://schemas.openxmlformats.org/officeDocument/2006/customXml" ds:itemID="{59DDD4F8-9867-4656-ACBB-224F31806FD0}"/>
</file>

<file path=docProps/app.xml><?xml version="1.0" encoding="utf-8"?>
<Properties xmlns="http://schemas.openxmlformats.org/officeDocument/2006/extended-properties" xmlns:vt="http://schemas.openxmlformats.org/officeDocument/2006/docPropsVTypes">
  <Template>Normal</Template>
  <TotalTime>5</TotalTime>
  <Pages>4</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16511 - INTERIOR LIGHTING</vt:lpstr>
    </vt:vector>
  </TitlesOfParts>
  <Company>ARCOM, Inc.</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16511 - INTERIOR LIGHTING</dc:title>
  <dc:subject>INTERIOR LIGHTING</dc:subject>
  <dc:creator>ARCOM, Inc.</dc:creator>
  <cp:keywords>BAS-12345-MS80</cp:keywords>
  <cp:lastModifiedBy>Jimmy Myers</cp:lastModifiedBy>
  <cp:revision>14</cp:revision>
  <cp:lastPrinted>2002-08-23T17:56:00Z</cp:lastPrinted>
  <dcterms:created xsi:type="dcterms:W3CDTF">2009-09-29T17:54:00Z</dcterms:created>
  <dcterms:modified xsi:type="dcterms:W3CDTF">2025-04-14T14:38:00Z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