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DB85" w14:textId="77777777" w:rsidR="00DC5142" w:rsidRDefault="00DC5142">
      <w:pPr>
        <w:pStyle w:val="CMT"/>
        <w:rPr>
          <w:b/>
          <w:sz w:val="20"/>
        </w:rPr>
      </w:pPr>
      <w:r>
        <w:rPr>
          <w:b/>
          <w:sz w:val="20"/>
        </w:rPr>
        <w:t>MASTERSPEC Short Form Copyright 1999, The American Institute of Architects (AIA)</w:t>
      </w:r>
    </w:p>
    <w:p w14:paraId="624D458C" w14:textId="77777777" w:rsidR="00DC5142" w:rsidRDefault="00DC5142">
      <w:pPr>
        <w:pStyle w:val="SCT"/>
        <w:spacing w:before="0"/>
        <w:rPr>
          <w:b/>
          <w:sz w:val="20"/>
        </w:rPr>
      </w:pPr>
      <w:r>
        <w:rPr>
          <w:b/>
          <w:sz w:val="20"/>
        </w:rPr>
        <w:t>SECTION 16415 - TRANSFER SWITCHES</w:t>
      </w:r>
    </w:p>
    <w:p w14:paraId="4971E998" w14:textId="77777777" w:rsidR="00DC5142" w:rsidRDefault="00DC5142">
      <w:pPr>
        <w:pStyle w:val="PRT"/>
        <w:rPr>
          <w:sz w:val="20"/>
        </w:rPr>
      </w:pPr>
      <w:r>
        <w:rPr>
          <w:sz w:val="20"/>
        </w:rPr>
        <w:t>GENERAL</w:t>
      </w:r>
    </w:p>
    <w:p w14:paraId="321B4EFA" w14:textId="77777777" w:rsidR="00DC5142" w:rsidRDefault="00DC5142">
      <w:pPr>
        <w:pStyle w:val="ART"/>
        <w:tabs>
          <w:tab w:val="clear" w:pos="864"/>
          <w:tab w:val="left" w:pos="720"/>
        </w:tabs>
        <w:ind w:left="720" w:hanging="720"/>
        <w:rPr>
          <w:sz w:val="20"/>
        </w:rPr>
      </w:pPr>
      <w:r>
        <w:rPr>
          <w:sz w:val="20"/>
        </w:rPr>
        <w:t>SUMMARY</w:t>
      </w:r>
    </w:p>
    <w:p w14:paraId="5CB18FBB" w14:textId="77777777" w:rsidR="00DC5142" w:rsidRDefault="00630DEC">
      <w:pPr>
        <w:pStyle w:val="PR1"/>
        <w:tabs>
          <w:tab w:val="clear" w:pos="864"/>
        </w:tabs>
        <w:spacing w:before="0"/>
        <w:ind w:left="720" w:hanging="540"/>
        <w:outlineLvl w:val="9"/>
        <w:rPr>
          <w:sz w:val="20"/>
        </w:rPr>
      </w:pPr>
      <w:r>
        <w:rPr>
          <w:sz w:val="20"/>
        </w:rPr>
        <w:t>The transfer switches are an owner furnished item and will be provided from Square D as part of the electrical switchgear package.  The electrical subcontractor shall contact the ASCO using the information in the drawings for all technical questions and submittal information.  The Owner will provide the purchase order to the supplier.  The electrical subcontractor will take delivery, store and install the transfer switches.  Provide the labor and equipment costs to install these units in Section 16231 “Packaged Emergency Generator” of the Bid Form located in Division 0.</w:t>
      </w:r>
    </w:p>
    <w:p w14:paraId="22E3DAA4" w14:textId="77777777" w:rsidR="00DC5142" w:rsidRDefault="00DC5142">
      <w:pPr>
        <w:pStyle w:val="ART"/>
        <w:tabs>
          <w:tab w:val="clear" w:pos="864"/>
          <w:tab w:val="left" w:pos="720"/>
        </w:tabs>
        <w:ind w:left="720" w:hanging="720"/>
        <w:rPr>
          <w:sz w:val="20"/>
        </w:rPr>
      </w:pPr>
      <w:r>
        <w:rPr>
          <w:sz w:val="20"/>
        </w:rPr>
        <w:t>SUBMITTALS</w:t>
      </w:r>
    </w:p>
    <w:p w14:paraId="1A479A06" w14:textId="77777777" w:rsidR="00DC5142" w:rsidRDefault="00DC5142">
      <w:pPr>
        <w:pStyle w:val="PR1"/>
        <w:tabs>
          <w:tab w:val="clear" w:pos="864"/>
        </w:tabs>
        <w:spacing w:before="0"/>
        <w:ind w:left="720" w:hanging="540"/>
        <w:outlineLvl w:val="9"/>
        <w:rPr>
          <w:sz w:val="20"/>
        </w:rPr>
      </w:pPr>
      <w:r>
        <w:rPr>
          <w:sz w:val="20"/>
        </w:rPr>
        <w:t>Field start-up test reports in Section 16231.</w:t>
      </w:r>
    </w:p>
    <w:p w14:paraId="47ECA6DB" w14:textId="77777777" w:rsidR="00DC5142" w:rsidRDefault="00DC5142">
      <w:pPr>
        <w:pStyle w:val="PR1"/>
        <w:tabs>
          <w:tab w:val="clear" w:pos="864"/>
        </w:tabs>
        <w:spacing w:before="0"/>
        <w:ind w:left="720" w:hanging="540"/>
        <w:outlineLvl w:val="9"/>
        <w:rPr>
          <w:sz w:val="20"/>
        </w:rPr>
      </w:pPr>
      <w:r>
        <w:rPr>
          <w:sz w:val="20"/>
        </w:rPr>
        <w:t>Operation and maintenance data, including manufacturer’s shop drawing details.</w:t>
      </w:r>
    </w:p>
    <w:p w14:paraId="5CC9EEC2" w14:textId="77777777" w:rsidR="00DC5142" w:rsidRDefault="00DC5142">
      <w:pPr>
        <w:pStyle w:val="ART"/>
        <w:tabs>
          <w:tab w:val="clear" w:pos="864"/>
          <w:tab w:val="left" w:pos="720"/>
        </w:tabs>
        <w:ind w:left="720" w:hanging="720"/>
        <w:rPr>
          <w:sz w:val="20"/>
        </w:rPr>
      </w:pPr>
      <w:r>
        <w:rPr>
          <w:sz w:val="20"/>
        </w:rPr>
        <w:t>QUALITY ASSURANCE</w:t>
      </w:r>
    </w:p>
    <w:p w14:paraId="49D96217" w14:textId="77777777" w:rsidR="00DC5142" w:rsidRDefault="00DC5142">
      <w:pPr>
        <w:pStyle w:val="PR1"/>
        <w:tabs>
          <w:tab w:val="clear" w:pos="864"/>
          <w:tab w:val="left" w:pos="720"/>
        </w:tabs>
        <w:spacing w:before="0"/>
        <w:ind w:left="720" w:hanging="540"/>
        <w:outlineLvl w:val="9"/>
        <w:rPr>
          <w:sz w:val="20"/>
        </w:rPr>
      </w:pPr>
      <w:r>
        <w:rPr>
          <w:sz w:val="20"/>
        </w:rPr>
        <w:t>Source Limitations:  Obtain automatic transfer switches through one source from a single manufacturer.</w:t>
      </w:r>
    </w:p>
    <w:p w14:paraId="3394EF7D" w14:textId="77777777" w:rsidR="00DC5142" w:rsidRDefault="00DC5142">
      <w:pPr>
        <w:pStyle w:val="CMT"/>
        <w:tabs>
          <w:tab w:val="left" w:pos="720"/>
        </w:tabs>
        <w:ind w:left="720" w:hanging="540"/>
        <w:rPr>
          <w:sz w:val="20"/>
        </w:rPr>
      </w:pPr>
      <w:r>
        <w:rPr>
          <w:sz w:val="20"/>
        </w:rPr>
        <w:t>See Editing Instruction No. 3 in the Evaluations about labeling for emergency service in first paragraph below.</w:t>
      </w:r>
    </w:p>
    <w:p w14:paraId="73B44DCC" w14:textId="77777777" w:rsidR="00DC5142" w:rsidRDefault="00DC5142">
      <w:pPr>
        <w:pStyle w:val="PR1"/>
        <w:tabs>
          <w:tab w:val="clear" w:pos="864"/>
          <w:tab w:val="left" w:pos="720"/>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67197E92" w14:textId="77777777" w:rsidR="00DC5142" w:rsidRDefault="00DC5142">
      <w:pPr>
        <w:pStyle w:val="PR1"/>
        <w:tabs>
          <w:tab w:val="clear" w:pos="864"/>
          <w:tab w:val="left" w:pos="720"/>
        </w:tabs>
        <w:spacing w:before="0"/>
        <w:ind w:left="720" w:hanging="540"/>
        <w:outlineLvl w:val="9"/>
        <w:rPr>
          <w:sz w:val="20"/>
        </w:rPr>
      </w:pPr>
      <w:r>
        <w:rPr>
          <w:sz w:val="20"/>
        </w:rPr>
        <w:t>Comply with NEMA ICS 1.</w:t>
      </w:r>
    </w:p>
    <w:p w14:paraId="5819A3CB" w14:textId="77777777" w:rsidR="00DC5142" w:rsidRDefault="00DC5142">
      <w:pPr>
        <w:pStyle w:val="CMT"/>
        <w:tabs>
          <w:tab w:val="left" w:pos="720"/>
        </w:tabs>
        <w:ind w:left="720" w:hanging="540"/>
        <w:rPr>
          <w:sz w:val="20"/>
        </w:rPr>
      </w:pPr>
      <w:r>
        <w:rPr>
          <w:sz w:val="20"/>
        </w:rPr>
        <w:t>Delete nonapplicable standards below.  See Evaluations.</w:t>
      </w:r>
    </w:p>
    <w:p w14:paraId="6AAD8D24" w14:textId="77777777" w:rsidR="00DC5142" w:rsidRDefault="00DC5142">
      <w:pPr>
        <w:pStyle w:val="PR1"/>
        <w:tabs>
          <w:tab w:val="clear" w:pos="864"/>
          <w:tab w:val="left" w:pos="720"/>
        </w:tabs>
        <w:spacing w:before="0"/>
        <w:ind w:left="720" w:hanging="540"/>
        <w:outlineLvl w:val="9"/>
        <w:rPr>
          <w:sz w:val="20"/>
        </w:rPr>
      </w:pPr>
      <w:r>
        <w:rPr>
          <w:sz w:val="20"/>
        </w:rPr>
        <w:t>Comply with NFPA 70.</w:t>
      </w:r>
    </w:p>
    <w:p w14:paraId="1F0C9B96" w14:textId="77777777" w:rsidR="00DC5142" w:rsidRDefault="00DC5142">
      <w:pPr>
        <w:pStyle w:val="PR1"/>
        <w:tabs>
          <w:tab w:val="clear" w:pos="864"/>
          <w:tab w:val="left" w:pos="720"/>
        </w:tabs>
        <w:spacing w:before="0"/>
        <w:ind w:left="720" w:hanging="540"/>
        <w:outlineLvl w:val="9"/>
        <w:rPr>
          <w:sz w:val="20"/>
        </w:rPr>
      </w:pPr>
      <w:r>
        <w:rPr>
          <w:sz w:val="20"/>
        </w:rPr>
        <w:t>Comply with NFPA 99.</w:t>
      </w:r>
    </w:p>
    <w:p w14:paraId="41B9867C" w14:textId="77777777" w:rsidR="00DC5142" w:rsidRDefault="00DC5142">
      <w:pPr>
        <w:pStyle w:val="PR1"/>
        <w:tabs>
          <w:tab w:val="clear" w:pos="864"/>
          <w:tab w:val="left" w:pos="720"/>
        </w:tabs>
        <w:spacing w:before="0"/>
        <w:ind w:left="720" w:hanging="540"/>
        <w:outlineLvl w:val="9"/>
        <w:rPr>
          <w:sz w:val="20"/>
        </w:rPr>
      </w:pPr>
      <w:r>
        <w:rPr>
          <w:sz w:val="20"/>
        </w:rPr>
        <w:t>Comply with NFPA 110.</w:t>
      </w:r>
    </w:p>
    <w:p w14:paraId="05691758" w14:textId="77777777" w:rsidR="00DC5142" w:rsidRDefault="00DC5142">
      <w:pPr>
        <w:pStyle w:val="PR1"/>
        <w:tabs>
          <w:tab w:val="clear" w:pos="864"/>
          <w:tab w:val="left" w:pos="720"/>
        </w:tabs>
        <w:spacing w:before="0"/>
        <w:ind w:left="720" w:hanging="540"/>
        <w:outlineLvl w:val="9"/>
        <w:rPr>
          <w:sz w:val="20"/>
        </w:rPr>
      </w:pPr>
      <w:r>
        <w:rPr>
          <w:sz w:val="20"/>
        </w:rPr>
        <w:t>Comply with UL 1008, unless requirements of these Specifications are stricter.</w:t>
      </w:r>
    </w:p>
    <w:p w14:paraId="2BB14BB5" w14:textId="77777777" w:rsidR="00C10504" w:rsidRDefault="00C10504">
      <w:pPr>
        <w:pStyle w:val="PR1"/>
        <w:tabs>
          <w:tab w:val="clear" w:pos="864"/>
          <w:tab w:val="left" w:pos="720"/>
        </w:tabs>
        <w:spacing w:before="0"/>
        <w:ind w:left="720" w:hanging="540"/>
        <w:outlineLvl w:val="9"/>
        <w:rPr>
          <w:sz w:val="20"/>
        </w:rPr>
      </w:pPr>
      <w:r>
        <w:rPr>
          <w:sz w:val="20"/>
        </w:rPr>
        <w:t>Warranty:  5-year comprehensive from date of factory-authorized start-up, includes all parts and labor during warranty and excludes deductibles.  Main Contacts replacement costs shall include parts and labor for an additional 5 years (years 6 through 10).</w:t>
      </w:r>
    </w:p>
    <w:p w14:paraId="4BB23632" w14:textId="77777777" w:rsidR="00DC5142" w:rsidRDefault="00DC5142">
      <w:pPr>
        <w:pStyle w:val="PRT"/>
        <w:rPr>
          <w:sz w:val="20"/>
        </w:rPr>
      </w:pPr>
      <w:r>
        <w:rPr>
          <w:sz w:val="20"/>
        </w:rPr>
        <w:t>PRODUCTS</w:t>
      </w:r>
    </w:p>
    <w:p w14:paraId="0ED5F508" w14:textId="77777777" w:rsidR="00DC5142" w:rsidRDefault="00DC5142">
      <w:pPr>
        <w:pStyle w:val="ART"/>
        <w:tabs>
          <w:tab w:val="clear" w:pos="864"/>
          <w:tab w:val="left" w:pos="720"/>
        </w:tabs>
        <w:ind w:left="720" w:hanging="720"/>
        <w:rPr>
          <w:sz w:val="20"/>
        </w:rPr>
      </w:pPr>
      <w:r>
        <w:rPr>
          <w:sz w:val="20"/>
        </w:rPr>
        <w:t>MANUFACTURERS</w:t>
      </w:r>
    </w:p>
    <w:p w14:paraId="4125F7B7" w14:textId="77777777" w:rsidR="00DC5142" w:rsidRDefault="00DC5142">
      <w:pPr>
        <w:pStyle w:val="CMT"/>
        <w:ind w:left="720" w:hanging="540"/>
        <w:rPr>
          <w:sz w:val="20"/>
        </w:rPr>
      </w:pPr>
      <w:r>
        <w:rPr>
          <w:sz w:val="20"/>
        </w:rPr>
        <w:t>See Editing Instruction No. 1 in the Evaluations for cautions about naming manufacturers and products.</w:t>
      </w:r>
    </w:p>
    <w:p w14:paraId="689D1014" w14:textId="77777777" w:rsidR="00DC5142" w:rsidRDefault="00DC5142">
      <w:pPr>
        <w:pStyle w:val="CMT"/>
        <w:ind w:left="720" w:hanging="540"/>
        <w:rPr>
          <w:sz w:val="20"/>
        </w:rPr>
      </w:pPr>
      <w:r>
        <w:rPr>
          <w:sz w:val="20"/>
        </w:rPr>
        <w:t>Retain above for nonproprietary or below for semiproprietary specification.  Refer to Division 1 Section "Product Requirements."</w:t>
      </w:r>
    </w:p>
    <w:p w14:paraId="6C7EBEFB" w14:textId="77777777" w:rsidR="00DC5142" w:rsidRDefault="00DC5142">
      <w:pPr>
        <w:pStyle w:val="PR1"/>
        <w:tabs>
          <w:tab w:val="clear" w:pos="864"/>
        </w:tabs>
        <w:spacing w:before="0"/>
        <w:ind w:left="720" w:hanging="540"/>
        <w:outlineLvl w:val="9"/>
        <w:rPr>
          <w:sz w:val="20"/>
        </w:rPr>
      </w:pPr>
      <w:r>
        <w:rPr>
          <w:sz w:val="20"/>
        </w:rPr>
        <w:t>Manufacturers:  Subject to compliance with requirements, provide products by one of the following:</w:t>
      </w:r>
    </w:p>
    <w:p w14:paraId="55719CB7" w14:textId="77777777" w:rsidR="00DC5142" w:rsidRDefault="00DC5142">
      <w:pPr>
        <w:pStyle w:val="PR2"/>
        <w:tabs>
          <w:tab w:val="clear" w:pos="1440"/>
        </w:tabs>
        <w:ind w:left="1080" w:hanging="360"/>
        <w:outlineLvl w:val="9"/>
        <w:rPr>
          <w:sz w:val="20"/>
        </w:rPr>
      </w:pPr>
      <w:r>
        <w:rPr>
          <w:sz w:val="20"/>
        </w:rPr>
        <w:t>Transfer Switches:</w:t>
      </w:r>
    </w:p>
    <w:p w14:paraId="02960A4D" w14:textId="77777777" w:rsidR="009A6343" w:rsidRDefault="009A6343">
      <w:pPr>
        <w:pStyle w:val="PR3"/>
        <w:tabs>
          <w:tab w:val="clear" w:pos="2016"/>
        </w:tabs>
        <w:ind w:left="1440" w:hanging="360"/>
        <w:outlineLvl w:val="9"/>
        <w:rPr>
          <w:sz w:val="20"/>
        </w:rPr>
      </w:pPr>
      <w:r>
        <w:rPr>
          <w:sz w:val="20"/>
        </w:rPr>
        <w:t>ASCO 4000 Series with accessory 18Z.</w:t>
      </w:r>
    </w:p>
    <w:p w14:paraId="5115DC13" w14:textId="77777777" w:rsidR="00DC5142" w:rsidRDefault="00DC5142">
      <w:pPr>
        <w:pStyle w:val="ART"/>
        <w:tabs>
          <w:tab w:val="clear" w:pos="864"/>
          <w:tab w:val="left" w:pos="720"/>
        </w:tabs>
        <w:ind w:left="720" w:hanging="720"/>
        <w:rPr>
          <w:sz w:val="20"/>
        </w:rPr>
      </w:pPr>
      <w:r>
        <w:rPr>
          <w:sz w:val="20"/>
        </w:rPr>
        <w:t>TRANSFER-SWITCH RATINGS</w:t>
      </w:r>
    </w:p>
    <w:p w14:paraId="4EA8B645" w14:textId="77777777" w:rsidR="00DC5142" w:rsidRDefault="00DC5142">
      <w:pPr>
        <w:pStyle w:val="CMT"/>
        <w:ind w:left="720" w:hanging="540"/>
        <w:rPr>
          <w:sz w:val="20"/>
        </w:rPr>
      </w:pPr>
      <w:r>
        <w:rPr>
          <w:sz w:val="20"/>
        </w:rPr>
        <w:t>Coordinate paragraph below with Drawings, and indicate percentage of tungsten filament lamp for switches where it exceeds standard 30 percent.  This may affect switch selection.  Some manufacturers' ratings for some switch lines apply to all classes of load, including tungsten lamps.</w:t>
      </w:r>
    </w:p>
    <w:p w14:paraId="39655F17" w14:textId="77777777" w:rsidR="00DC5142" w:rsidRDefault="00DC5142">
      <w:pPr>
        <w:pStyle w:val="PR1"/>
        <w:tabs>
          <w:tab w:val="clear" w:pos="864"/>
        </w:tabs>
        <w:spacing w:before="0"/>
        <w:ind w:left="720" w:hanging="540"/>
        <w:outlineLvl w:val="9"/>
        <w:rPr>
          <w:sz w:val="20"/>
        </w:rPr>
      </w:pPr>
      <w:r>
        <w:rPr>
          <w:sz w:val="20"/>
        </w:rPr>
        <w:t>Indicated Current Ratings:  Apply as defined in UL 1008 for continuous loading and total system transfer.</w:t>
      </w:r>
    </w:p>
    <w:p w14:paraId="00FDD006" w14:textId="77777777" w:rsidR="00DC5142" w:rsidRDefault="00DC5142">
      <w:pPr>
        <w:pStyle w:val="CMT"/>
        <w:ind w:left="720" w:hanging="540"/>
        <w:rPr>
          <w:sz w:val="20"/>
        </w:rPr>
      </w:pPr>
      <w:r>
        <w:rPr>
          <w:sz w:val="20"/>
        </w:rPr>
        <w:t>Coordinate below with Drawings.  See Editing Instruction No. 4 in the Evaluations.</w:t>
      </w:r>
    </w:p>
    <w:p w14:paraId="2422216A" w14:textId="77777777" w:rsidR="00DC5142" w:rsidRDefault="00DC5142">
      <w:pPr>
        <w:pStyle w:val="PR1"/>
        <w:tabs>
          <w:tab w:val="clear" w:pos="864"/>
        </w:tabs>
        <w:spacing w:before="0"/>
        <w:ind w:left="720" w:hanging="540"/>
        <w:outlineLvl w:val="9"/>
        <w:rPr>
          <w:sz w:val="20"/>
        </w:rPr>
      </w:pPr>
      <w:r>
        <w:rPr>
          <w:sz w:val="20"/>
        </w:rPr>
        <w:lastRenderedPageBreak/>
        <w:t>Tested Fault-Current Closing and Withstand Ratings:  Adequate for indicated available fault conditions without damage to unit components, based on testing according to UL 1008.</w:t>
      </w:r>
    </w:p>
    <w:p w14:paraId="4C68B1EE" w14:textId="77777777" w:rsidR="00DC5142" w:rsidRDefault="00DC5142">
      <w:pPr>
        <w:pStyle w:val="ART"/>
        <w:tabs>
          <w:tab w:val="clear" w:pos="864"/>
          <w:tab w:val="left" w:pos="720"/>
        </w:tabs>
        <w:ind w:left="720" w:hanging="720"/>
        <w:rPr>
          <w:sz w:val="20"/>
        </w:rPr>
      </w:pPr>
      <w:r>
        <w:rPr>
          <w:sz w:val="20"/>
        </w:rPr>
        <w:t>FINISHES</w:t>
      </w:r>
    </w:p>
    <w:p w14:paraId="677ED54E" w14:textId="77777777" w:rsidR="00DC5142" w:rsidRDefault="00DC5142">
      <w:pPr>
        <w:pStyle w:val="PR1"/>
        <w:tabs>
          <w:tab w:val="clear" w:pos="864"/>
        </w:tabs>
        <w:spacing w:before="0"/>
        <w:ind w:left="720" w:hanging="540"/>
        <w:outlineLvl w:val="9"/>
        <w:rPr>
          <w:sz w:val="20"/>
        </w:rPr>
      </w:pPr>
      <w:r>
        <w:rPr>
          <w:sz w:val="20"/>
        </w:rPr>
        <w:t>Enclosures:  Manufacturer's standard enamel over corrosion-resistant pretreatment and primer.</w:t>
      </w:r>
    </w:p>
    <w:p w14:paraId="07CA11C4" w14:textId="77777777" w:rsidR="00DC5142" w:rsidRDefault="00DC5142">
      <w:pPr>
        <w:pStyle w:val="ART"/>
        <w:tabs>
          <w:tab w:val="clear" w:pos="864"/>
          <w:tab w:val="left" w:pos="720"/>
        </w:tabs>
        <w:ind w:left="720" w:hanging="720"/>
        <w:rPr>
          <w:sz w:val="20"/>
        </w:rPr>
      </w:pPr>
      <w:r>
        <w:rPr>
          <w:sz w:val="20"/>
        </w:rPr>
        <w:t>SOURCE QUALITY CONTROL</w:t>
      </w:r>
    </w:p>
    <w:p w14:paraId="6E184C6A" w14:textId="77777777" w:rsidR="00DC5142" w:rsidRDefault="00DC5142">
      <w:pPr>
        <w:pStyle w:val="PR1"/>
        <w:tabs>
          <w:tab w:val="clear" w:pos="864"/>
        </w:tabs>
        <w:spacing w:before="0"/>
        <w:ind w:left="720" w:hanging="540"/>
        <w:outlineLvl w:val="9"/>
        <w:rPr>
          <w:sz w:val="20"/>
        </w:rPr>
      </w:pPr>
      <w:r>
        <w:rPr>
          <w:sz w:val="20"/>
        </w:rPr>
        <w:t>Factory Test Components, Assembled Switches, and Associated Equipment:  Ensure proper operation.  Check transfer time and voltage, frequency, and time-delay settings for compliance with specified requirements.  Perform dielectric strength test complying with NEMA ICS 1.</w:t>
      </w:r>
    </w:p>
    <w:p w14:paraId="353871E6" w14:textId="77777777" w:rsidR="00DC5142" w:rsidRDefault="009A6343">
      <w:pPr>
        <w:pStyle w:val="PRT"/>
        <w:rPr>
          <w:sz w:val="20"/>
        </w:rPr>
      </w:pPr>
      <w:r>
        <w:rPr>
          <w:sz w:val="20"/>
        </w:rPr>
        <w:br w:type="page"/>
      </w:r>
      <w:r w:rsidR="00DC5142">
        <w:rPr>
          <w:sz w:val="20"/>
        </w:rPr>
        <w:lastRenderedPageBreak/>
        <w:t>EXECUTION</w:t>
      </w:r>
    </w:p>
    <w:p w14:paraId="517653E7" w14:textId="77777777" w:rsidR="00DC5142" w:rsidRDefault="00DC5142">
      <w:pPr>
        <w:pStyle w:val="ART"/>
        <w:tabs>
          <w:tab w:val="clear" w:pos="864"/>
          <w:tab w:val="left" w:pos="720"/>
        </w:tabs>
        <w:ind w:left="720" w:hanging="720"/>
        <w:rPr>
          <w:sz w:val="20"/>
        </w:rPr>
      </w:pPr>
      <w:r>
        <w:rPr>
          <w:sz w:val="20"/>
        </w:rPr>
        <w:t>APPLICATION</w:t>
      </w:r>
    </w:p>
    <w:p w14:paraId="437DAC78" w14:textId="77777777" w:rsidR="00DC5142" w:rsidRDefault="00DC5142">
      <w:pPr>
        <w:pStyle w:val="CMT"/>
        <w:ind w:left="720" w:hanging="540"/>
        <w:rPr>
          <w:sz w:val="20"/>
        </w:rPr>
      </w:pPr>
      <w:r>
        <w:rPr>
          <w:sz w:val="20"/>
        </w:rPr>
        <w:t>Delete this Article unless four-pole switches are indicated.  See Editing Instruction No. 5 in the Evaluations.</w:t>
      </w:r>
    </w:p>
    <w:p w14:paraId="474E527B" w14:textId="77777777" w:rsidR="00DC5142" w:rsidRDefault="00DC5142">
      <w:pPr>
        <w:pStyle w:val="PR1"/>
        <w:tabs>
          <w:tab w:val="clear" w:pos="864"/>
        </w:tabs>
        <w:spacing w:before="0"/>
        <w:ind w:left="720" w:hanging="540"/>
        <w:outlineLvl w:val="9"/>
        <w:rPr>
          <w:sz w:val="20"/>
        </w:rPr>
      </w:pPr>
      <w:r>
        <w:rPr>
          <w:sz w:val="20"/>
        </w:rPr>
        <w:t>Four-Pole Switches: with fully-rated overlapping neutral contacts.</w:t>
      </w:r>
    </w:p>
    <w:p w14:paraId="22BF1F30" w14:textId="77777777" w:rsidR="00DC5142" w:rsidRDefault="00DC5142">
      <w:pPr>
        <w:pStyle w:val="ART"/>
        <w:tabs>
          <w:tab w:val="clear" w:pos="864"/>
          <w:tab w:val="left" w:pos="720"/>
        </w:tabs>
        <w:ind w:left="720" w:hanging="720"/>
        <w:rPr>
          <w:sz w:val="20"/>
        </w:rPr>
      </w:pPr>
      <w:r>
        <w:rPr>
          <w:sz w:val="20"/>
        </w:rPr>
        <w:t>INSTALLATION</w:t>
      </w:r>
    </w:p>
    <w:p w14:paraId="191C3A80" w14:textId="77777777" w:rsidR="00DC5142" w:rsidRDefault="00DC5142">
      <w:pPr>
        <w:pStyle w:val="PR1"/>
        <w:tabs>
          <w:tab w:val="clear" w:pos="864"/>
        </w:tabs>
        <w:spacing w:before="0"/>
        <w:ind w:left="720" w:hanging="540"/>
        <w:outlineLvl w:val="9"/>
        <w:rPr>
          <w:sz w:val="20"/>
        </w:rPr>
      </w:pPr>
      <w:r>
        <w:rPr>
          <w:sz w:val="20"/>
        </w:rPr>
        <w:t>Wall-Mounted Switches:  Mount plumb and rigid without distortion of enclosure.</w:t>
      </w:r>
    </w:p>
    <w:p w14:paraId="6AFCED9B" w14:textId="77777777" w:rsidR="00DC5142" w:rsidRDefault="00DC5142">
      <w:pPr>
        <w:pStyle w:val="PR1"/>
        <w:tabs>
          <w:tab w:val="clear" w:pos="864"/>
        </w:tabs>
        <w:spacing w:before="0"/>
        <w:ind w:left="720" w:hanging="540"/>
        <w:outlineLvl w:val="9"/>
        <w:rPr>
          <w:sz w:val="20"/>
        </w:rPr>
      </w:pPr>
      <w:r>
        <w:rPr>
          <w:sz w:val="20"/>
        </w:rPr>
        <w:t>Identify components according to Division 16 Section "Basic Electrical Materials and Methods."</w:t>
      </w:r>
    </w:p>
    <w:p w14:paraId="04343A7D" w14:textId="77777777" w:rsidR="00DC5142" w:rsidRDefault="00DC5142">
      <w:pPr>
        <w:pStyle w:val="ART"/>
        <w:tabs>
          <w:tab w:val="clear" w:pos="864"/>
          <w:tab w:val="left" w:pos="720"/>
        </w:tabs>
        <w:ind w:left="720" w:hanging="720"/>
        <w:rPr>
          <w:sz w:val="20"/>
        </w:rPr>
      </w:pPr>
      <w:r>
        <w:rPr>
          <w:sz w:val="20"/>
        </w:rPr>
        <w:t>FIELD QUALITY CONTROL</w:t>
      </w:r>
    </w:p>
    <w:p w14:paraId="62B48588" w14:textId="77777777" w:rsidR="00DC5142" w:rsidRDefault="00DC5142">
      <w:pPr>
        <w:pStyle w:val="PR1"/>
        <w:tabs>
          <w:tab w:val="clear" w:pos="864"/>
        </w:tabs>
        <w:spacing w:before="0"/>
        <w:ind w:left="720" w:hanging="540"/>
        <w:outlineLvl w:val="9"/>
        <w:rPr>
          <w:sz w:val="20"/>
        </w:rPr>
      </w:pPr>
      <w:r>
        <w:rPr>
          <w:sz w:val="20"/>
        </w:rPr>
        <w:t>Testing:  Test transfer-switch products by operating them in all modes.  Perform tests recommended by manufacturer under the supervision of manufacturer's factory-authorized service representative.  Correct deficiencies and report results in writing.  Record adjustable relay settings.</w:t>
      </w:r>
    </w:p>
    <w:p w14:paraId="42738E1E" w14:textId="77777777" w:rsidR="00DC5142" w:rsidRDefault="00DC5142">
      <w:pPr>
        <w:pStyle w:val="PR2"/>
        <w:tabs>
          <w:tab w:val="clear" w:pos="1440"/>
        </w:tabs>
        <w:ind w:left="1080" w:hanging="360"/>
        <w:outlineLvl w:val="9"/>
        <w:rPr>
          <w:sz w:val="20"/>
        </w:rPr>
      </w:pPr>
      <w:r>
        <w:rPr>
          <w:sz w:val="20"/>
        </w:rPr>
        <w:t>Before energizing equipment, after transfer-switch products have been installed, do the following:</w:t>
      </w:r>
    </w:p>
    <w:p w14:paraId="661FFB53" w14:textId="77777777" w:rsidR="00DC5142" w:rsidRDefault="00DC5142">
      <w:pPr>
        <w:pStyle w:val="PR3"/>
        <w:tabs>
          <w:tab w:val="clear" w:pos="2016"/>
        </w:tabs>
        <w:ind w:left="1440" w:hanging="360"/>
        <w:rPr>
          <w:sz w:val="20"/>
        </w:rPr>
      </w:pPr>
      <w:r>
        <w:rPr>
          <w:sz w:val="20"/>
        </w:rPr>
        <w:t>Check for electrical continuity of circuits and for short circuits.</w:t>
      </w:r>
    </w:p>
    <w:p w14:paraId="73F9849A" w14:textId="77777777" w:rsidR="00DC5142" w:rsidRDefault="00DC5142">
      <w:pPr>
        <w:pStyle w:val="PR3"/>
        <w:tabs>
          <w:tab w:val="clear" w:pos="2016"/>
        </w:tabs>
        <w:ind w:left="1440" w:hanging="360"/>
        <w:rPr>
          <w:sz w:val="20"/>
        </w:rPr>
      </w:pPr>
      <w:r>
        <w:rPr>
          <w:sz w:val="20"/>
        </w:rPr>
        <w:t>Inspect for physical damage; proper installation and connection; and integrity of barriers, covers, and safety features.</w:t>
      </w:r>
    </w:p>
    <w:p w14:paraId="466105E6" w14:textId="77777777" w:rsidR="00DC5142" w:rsidRDefault="00DC5142">
      <w:pPr>
        <w:pStyle w:val="PR3"/>
        <w:tabs>
          <w:tab w:val="clear" w:pos="2016"/>
        </w:tabs>
        <w:ind w:left="1440" w:hanging="360"/>
        <w:rPr>
          <w:sz w:val="20"/>
        </w:rPr>
      </w:pPr>
      <w:r>
        <w:rPr>
          <w:sz w:val="20"/>
        </w:rPr>
        <w:t>Verify that manual transfer warnings are properly placed.</w:t>
      </w:r>
    </w:p>
    <w:p w14:paraId="132C2F6F" w14:textId="77777777" w:rsidR="00DC5142" w:rsidRDefault="00DC5142">
      <w:pPr>
        <w:pStyle w:val="PR3"/>
        <w:tabs>
          <w:tab w:val="clear" w:pos="2016"/>
        </w:tabs>
        <w:ind w:left="1440" w:hanging="360"/>
        <w:rPr>
          <w:sz w:val="20"/>
        </w:rPr>
      </w:pPr>
      <w:r>
        <w:rPr>
          <w:sz w:val="20"/>
        </w:rPr>
        <w:t>Perform manual transfer operation.</w:t>
      </w:r>
    </w:p>
    <w:p w14:paraId="212477DD" w14:textId="77777777" w:rsidR="00DC5142" w:rsidRDefault="00DC5142">
      <w:pPr>
        <w:pStyle w:val="PR2"/>
        <w:tabs>
          <w:tab w:val="clear" w:pos="1440"/>
        </w:tabs>
        <w:ind w:left="1080" w:hanging="360"/>
        <w:outlineLvl w:val="9"/>
        <w:rPr>
          <w:sz w:val="20"/>
        </w:rPr>
      </w:pPr>
      <w:r>
        <w:rPr>
          <w:sz w:val="20"/>
        </w:rPr>
        <w:t>After energizing circuits, demonstrate interlocking sequence and operational function for each switch at least three times.</w:t>
      </w:r>
    </w:p>
    <w:p w14:paraId="0F171827" w14:textId="77777777" w:rsidR="00DC5142" w:rsidRDefault="00DC5142">
      <w:pPr>
        <w:pStyle w:val="PR3"/>
        <w:tabs>
          <w:tab w:val="clear" w:pos="2016"/>
        </w:tabs>
        <w:ind w:left="1440" w:hanging="360"/>
        <w:outlineLvl w:val="9"/>
        <w:rPr>
          <w:sz w:val="20"/>
        </w:rPr>
      </w:pPr>
      <w:r>
        <w:rPr>
          <w:sz w:val="20"/>
        </w:rPr>
        <w:t>Simulate power failures of normal source to automatic transfer switches and of emergency source with normal source available.</w:t>
      </w:r>
    </w:p>
    <w:p w14:paraId="040652DC" w14:textId="77777777" w:rsidR="00DC5142" w:rsidRDefault="00DC5142">
      <w:pPr>
        <w:pStyle w:val="CMT"/>
        <w:spacing w:after="240"/>
        <w:ind w:left="1440" w:hanging="360"/>
        <w:rPr>
          <w:sz w:val="20"/>
        </w:rPr>
      </w:pPr>
      <w:r>
        <w:rPr>
          <w:sz w:val="20"/>
        </w:rPr>
        <w:t>Delete test in first subparagraph below unless three-phase undervoltage sensing is specified in Part 2.  Test requires advance preparation by testing agency.</w:t>
      </w:r>
    </w:p>
    <w:p w14:paraId="01A5685D" w14:textId="77777777" w:rsidR="00DC5142" w:rsidRDefault="00DC5142">
      <w:pPr>
        <w:pStyle w:val="PR3"/>
        <w:tabs>
          <w:tab w:val="clear" w:pos="2016"/>
        </w:tabs>
        <w:ind w:left="1440" w:hanging="360"/>
        <w:rPr>
          <w:sz w:val="20"/>
        </w:rPr>
      </w:pPr>
      <w:r>
        <w:rPr>
          <w:sz w:val="20"/>
        </w:rPr>
        <w:t>Verify time-delay settings.</w:t>
      </w:r>
    </w:p>
    <w:p w14:paraId="41A1723B" w14:textId="77777777" w:rsidR="00DC5142" w:rsidRDefault="00DC5142">
      <w:pPr>
        <w:pStyle w:val="PR3"/>
        <w:tabs>
          <w:tab w:val="clear" w:pos="2016"/>
        </w:tabs>
        <w:ind w:left="1440" w:hanging="360"/>
        <w:rPr>
          <w:sz w:val="20"/>
        </w:rPr>
      </w:pPr>
      <w:r>
        <w:rPr>
          <w:sz w:val="20"/>
        </w:rPr>
        <w:t>Verify pickup and dropout voltages by inspection of control settings.</w:t>
      </w:r>
    </w:p>
    <w:p w14:paraId="69A80EFC" w14:textId="77777777" w:rsidR="00DC5142" w:rsidRDefault="00DC5142">
      <w:pPr>
        <w:pStyle w:val="CMT"/>
        <w:spacing w:after="240"/>
        <w:ind w:left="1440" w:hanging="360"/>
        <w:rPr>
          <w:sz w:val="20"/>
        </w:rPr>
      </w:pPr>
      <w:r>
        <w:rPr>
          <w:sz w:val="20"/>
        </w:rPr>
        <w:t>Normally require test in first subparagraph below only for critical and extensive installations and for switches rated 1600 A and above in other installations.</w:t>
      </w:r>
    </w:p>
    <w:p w14:paraId="6F53BEC6" w14:textId="77777777" w:rsidR="00DC5142" w:rsidRDefault="00DC5142">
      <w:pPr>
        <w:pStyle w:val="PR3"/>
        <w:tabs>
          <w:tab w:val="clear" w:pos="2016"/>
        </w:tabs>
        <w:ind w:left="1440" w:hanging="360"/>
        <w:rPr>
          <w:sz w:val="20"/>
        </w:rPr>
      </w:pPr>
      <w:r>
        <w:rPr>
          <w:sz w:val="20"/>
        </w:rPr>
        <w:t xml:space="preserve">Perform contact-resistance test across main contacts and correct values exceeding 500 </w:t>
      </w:r>
      <w:proofErr w:type="spellStart"/>
      <w:r>
        <w:rPr>
          <w:sz w:val="20"/>
        </w:rPr>
        <w:t>microhms</w:t>
      </w:r>
      <w:proofErr w:type="spellEnd"/>
      <w:r>
        <w:rPr>
          <w:sz w:val="20"/>
        </w:rPr>
        <w:t xml:space="preserve"> and values for one pole deviating by more than 50 percent from other poles.</w:t>
      </w:r>
    </w:p>
    <w:p w14:paraId="7ACA9AFA" w14:textId="77777777" w:rsidR="00DC5142" w:rsidRDefault="00DC5142">
      <w:pPr>
        <w:pStyle w:val="PR3"/>
        <w:tabs>
          <w:tab w:val="clear" w:pos="2016"/>
        </w:tabs>
        <w:ind w:left="1440" w:hanging="360"/>
        <w:rPr>
          <w:sz w:val="20"/>
        </w:rPr>
      </w:pPr>
      <w:r>
        <w:rPr>
          <w:sz w:val="20"/>
        </w:rPr>
        <w:t>Verify proper sequence and correct timing of automatic engine starting, transfer time delay, retransfer time delay on restoration of normal power, and engine cool-down and shutdown sequence.</w:t>
      </w:r>
    </w:p>
    <w:p w14:paraId="49A85C22" w14:textId="77777777" w:rsidR="00DC5142" w:rsidRDefault="00DC5142">
      <w:pPr>
        <w:pStyle w:val="CMT"/>
        <w:ind w:left="720" w:hanging="540"/>
        <w:rPr>
          <w:sz w:val="20"/>
        </w:rPr>
      </w:pPr>
      <w:r>
        <w:rPr>
          <w:sz w:val="20"/>
        </w:rPr>
        <w:t>Delete paragraph and subparagraphs below if protective devices for circuits connected to transfer switches do not include ground-fault protection.</w:t>
      </w:r>
    </w:p>
    <w:p w14:paraId="5AE3732B" w14:textId="77777777" w:rsidR="00DC5142" w:rsidRDefault="00DC5142">
      <w:pPr>
        <w:pStyle w:val="CMT"/>
        <w:ind w:left="720" w:hanging="540"/>
        <w:rPr>
          <w:sz w:val="20"/>
        </w:rPr>
      </w:pPr>
      <w:r>
        <w:rPr>
          <w:sz w:val="20"/>
        </w:rPr>
        <w:t>Delete first paragraph below if automatic transfer switch is not associated with generator set.</w:t>
      </w:r>
    </w:p>
    <w:p w14:paraId="62C62B42" w14:textId="77777777" w:rsidR="00DC5142" w:rsidRDefault="00DC5142">
      <w:pPr>
        <w:pStyle w:val="PR1"/>
        <w:tabs>
          <w:tab w:val="clear" w:pos="864"/>
        </w:tabs>
        <w:spacing w:before="0"/>
        <w:ind w:left="720" w:hanging="540"/>
        <w:outlineLvl w:val="9"/>
        <w:rPr>
          <w:sz w:val="20"/>
        </w:rPr>
      </w:pPr>
      <w:r>
        <w:rPr>
          <w:sz w:val="20"/>
        </w:rPr>
        <w:t>Coordinate tests with tests of generator plant and run them concurrently.</w:t>
      </w:r>
    </w:p>
    <w:p w14:paraId="67767FBB" w14:textId="77777777" w:rsidR="00DC5142" w:rsidRDefault="00DC5142">
      <w:pPr>
        <w:pStyle w:val="PR1"/>
        <w:tabs>
          <w:tab w:val="clear" w:pos="864"/>
        </w:tabs>
        <w:spacing w:before="0"/>
        <w:ind w:left="720" w:hanging="540"/>
        <w:outlineLvl w:val="9"/>
        <w:rPr>
          <w:sz w:val="20"/>
        </w:rPr>
      </w:pPr>
      <w:r>
        <w:rPr>
          <w:sz w:val="20"/>
        </w:rPr>
        <w:t>Record adjustable relay settings and time delays.  Attach a label or tag to each tested component indicating satisfactory completion of tests.</w:t>
      </w:r>
    </w:p>
    <w:p w14:paraId="480F1355" w14:textId="77777777" w:rsidR="00DC5142" w:rsidRDefault="00DC5142">
      <w:pPr>
        <w:pStyle w:val="EOS"/>
        <w:jc w:val="center"/>
        <w:rPr>
          <w:sz w:val="20"/>
        </w:rPr>
      </w:pPr>
      <w:r>
        <w:rPr>
          <w:sz w:val="20"/>
        </w:rPr>
        <w:t>END OF SECTION 16415</w:t>
      </w:r>
    </w:p>
    <w:p w14:paraId="05657B06" w14:textId="77777777" w:rsidR="00DC5142" w:rsidRDefault="00DC5142">
      <w:pPr>
        <w:pStyle w:val="EOS"/>
        <w:spacing w:before="0"/>
        <w:ind w:firstLine="360"/>
        <w:jc w:val="center"/>
      </w:pPr>
    </w:p>
    <w:p w14:paraId="212D522C" w14:textId="77777777" w:rsidR="00DC5142" w:rsidRDefault="00DC5142">
      <w:pPr>
        <w:pStyle w:val="Title"/>
        <w:rPr>
          <w:sz w:val="20"/>
        </w:rPr>
      </w:pPr>
    </w:p>
    <w:sectPr w:rsidR="00DC5142" w:rsidSect="001978E0">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6C90" w14:textId="77777777" w:rsidR="00D34095" w:rsidRDefault="00D34095">
      <w:r>
        <w:separator/>
      </w:r>
    </w:p>
  </w:endnote>
  <w:endnote w:type="continuationSeparator" w:id="0">
    <w:p w14:paraId="25D564A8" w14:textId="77777777" w:rsidR="00D34095" w:rsidRDefault="00D3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B281" w14:textId="77777777" w:rsidR="00CD66CD" w:rsidRDefault="00CD6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4FE9" w14:textId="77777777" w:rsidR="00DC5142" w:rsidRDefault="00DC5142">
    <w:pPr>
      <w:pStyle w:val="FTR"/>
      <w:tabs>
        <w:tab w:val="center" w:pos="4680"/>
      </w:tabs>
      <w:rPr>
        <w:b/>
        <w:sz w:val="20"/>
      </w:rPr>
    </w:pPr>
    <w:r>
      <w:rPr>
        <w:b/>
        <w:sz w:val="20"/>
      </w:rPr>
      <w:t>TRANSFER SWITCHES</w:t>
    </w:r>
    <w:r>
      <w:rPr>
        <w:b/>
        <w:sz w:val="20"/>
      </w:rPr>
      <w:tab/>
    </w:r>
    <w:r>
      <w:rPr>
        <w:b/>
        <w:sz w:val="20"/>
      </w:rPr>
      <w:tab/>
      <w:t>16415-</w:t>
    </w:r>
    <w:r w:rsidR="006C2FAC">
      <w:rPr>
        <w:b/>
        <w:sz w:val="20"/>
      </w:rPr>
      <w:fldChar w:fldCharType="begin"/>
    </w:r>
    <w:r>
      <w:rPr>
        <w:b/>
        <w:sz w:val="20"/>
      </w:rPr>
      <w:instrText xml:space="preserve"> PAGE  \* MERGEFORMAT </w:instrText>
    </w:r>
    <w:r w:rsidR="006C2FAC">
      <w:rPr>
        <w:b/>
        <w:sz w:val="20"/>
      </w:rPr>
      <w:fldChar w:fldCharType="separate"/>
    </w:r>
    <w:r w:rsidR="006A6E4C">
      <w:rPr>
        <w:b/>
        <w:noProof/>
        <w:sz w:val="20"/>
      </w:rPr>
      <w:t>1</w:t>
    </w:r>
    <w:r w:rsidR="006C2FAC">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C6FD" w14:textId="77777777" w:rsidR="00CD66CD" w:rsidRDefault="00CD6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28E6" w14:textId="77777777" w:rsidR="00D34095" w:rsidRDefault="00D34095">
      <w:r>
        <w:separator/>
      </w:r>
    </w:p>
  </w:footnote>
  <w:footnote w:type="continuationSeparator" w:id="0">
    <w:p w14:paraId="61530FB8" w14:textId="77777777" w:rsidR="00D34095" w:rsidRDefault="00D34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EC2D" w14:textId="77777777" w:rsidR="00CD66CD" w:rsidRDefault="00CD6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F3CC" w14:textId="4D2DF6B2" w:rsidR="00DC5142" w:rsidRDefault="00DC5142">
    <w:pPr>
      <w:pStyle w:val="HDR"/>
      <w:rPr>
        <w:b/>
        <w:sz w:val="20"/>
      </w:rPr>
    </w:pPr>
    <w:r>
      <w:rPr>
        <w:b/>
        <w:sz w:val="20"/>
      </w:rPr>
      <w:t xml:space="preserve">LOWE'S OF </w:t>
    </w:r>
    <w:r w:rsidR="00CD66CD">
      <w:rPr>
        <w:b/>
        <w:sz w:val="20"/>
      </w:rPr>
      <w:t>WESTIELD, FL.</w:t>
    </w:r>
    <w:r>
      <w:rPr>
        <w:b/>
        <w:sz w:val="20"/>
      </w:rPr>
      <w:tab/>
    </w:r>
    <w:r>
      <w:rPr>
        <w:b/>
        <w:sz w:val="20"/>
      </w:rPr>
      <w:tab/>
    </w:r>
    <w:r w:rsidR="006A6E4C">
      <w:rPr>
        <w:b/>
        <w:sz w:val="20"/>
      </w:rPr>
      <w:t>06</w:t>
    </w:r>
    <w:r w:rsidR="009C60FF">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A54" w14:textId="77777777" w:rsidR="00CD66CD" w:rsidRDefault="00CD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D67264"/>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85148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81005"/>
    <w:rsid w:val="00050919"/>
    <w:rsid w:val="000566E7"/>
    <w:rsid w:val="00072CF8"/>
    <w:rsid w:val="00076A04"/>
    <w:rsid w:val="00094D50"/>
    <w:rsid w:val="00097FCD"/>
    <w:rsid w:val="000D3C7B"/>
    <w:rsid w:val="000E38F3"/>
    <w:rsid w:val="00122E46"/>
    <w:rsid w:val="001978E0"/>
    <w:rsid w:val="001A51FD"/>
    <w:rsid w:val="001B2DA3"/>
    <w:rsid w:val="001C28EB"/>
    <w:rsid w:val="001F25DA"/>
    <w:rsid w:val="00207C4D"/>
    <w:rsid w:val="0021262B"/>
    <w:rsid w:val="002227A8"/>
    <w:rsid w:val="002339D4"/>
    <w:rsid w:val="002521A5"/>
    <w:rsid w:val="002526EF"/>
    <w:rsid w:val="00283A14"/>
    <w:rsid w:val="00286C80"/>
    <w:rsid w:val="002A742F"/>
    <w:rsid w:val="002C3193"/>
    <w:rsid w:val="002D2165"/>
    <w:rsid w:val="002E7846"/>
    <w:rsid w:val="00303856"/>
    <w:rsid w:val="00305157"/>
    <w:rsid w:val="0034724A"/>
    <w:rsid w:val="00377035"/>
    <w:rsid w:val="00381005"/>
    <w:rsid w:val="003A54A7"/>
    <w:rsid w:val="003A5F02"/>
    <w:rsid w:val="003B6B0B"/>
    <w:rsid w:val="00427557"/>
    <w:rsid w:val="004F67AB"/>
    <w:rsid w:val="005210EB"/>
    <w:rsid w:val="0055092A"/>
    <w:rsid w:val="00574885"/>
    <w:rsid w:val="005D12DB"/>
    <w:rsid w:val="005D6B3F"/>
    <w:rsid w:val="005F5129"/>
    <w:rsid w:val="00630DEC"/>
    <w:rsid w:val="006948D1"/>
    <w:rsid w:val="006A11C9"/>
    <w:rsid w:val="006A6E4C"/>
    <w:rsid w:val="006A7B46"/>
    <w:rsid w:val="006C2FAC"/>
    <w:rsid w:val="006F62FA"/>
    <w:rsid w:val="00716FD0"/>
    <w:rsid w:val="00730EA4"/>
    <w:rsid w:val="00746142"/>
    <w:rsid w:val="00760BC9"/>
    <w:rsid w:val="00765F73"/>
    <w:rsid w:val="0077390E"/>
    <w:rsid w:val="00790107"/>
    <w:rsid w:val="007B4998"/>
    <w:rsid w:val="007D014D"/>
    <w:rsid w:val="007D6DAD"/>
    <w:rsid w:val="007F36E1"/>
    <w:rsid w:val="0081642B"/>
    <w:rsid w:val="008327FD"/>
    <w:rsid w:val="00841C75"/>
    <w:rsid w:val="0089663C"/>
    <w:rsid w:val="008B6C2F"/>
    <w:rsid w:val="008E2D67"/>
    <w:rsid w:val="00914C3F"/>
    <w:rsid w:val="00942A3D"/>
    <w:rsid w:val="00942A8F"/>
    <w:rsid w:val="00981311"/>
    <w:rsid w:val="009A3C25"/>
    <w:rsid w:val="009A6343"/>
    <w:rsid w:val="009C60FF"/>
    <w:rsid w:val="00A52F98"/>
    <w:rsid w:val="00AC4637"/>
    <w:rsid w:val="00AC61ED"/>
    <w:rsid w:val="00AD14B7"/>
    <w:rsid w:val="00AF2244"/>
    <w:rsid w:val="00B047C3"/>
    <w:rsid w:val="00B40614"/>
    <w:rsid w:val="00B521A5"/>
    <w:rsid w:val="00B77C72"/>
    <w:rsid w:val="00B81B8C"/>
    <w:rsid w:val="00BD0D53"/>
    <w:rsid w:val="00BD262D"/>
    <w:rsid w:val="00BF6694"/>
    <w:rsid w:val="00C10504"/>
    <w:rsid w:val="00C80E36"/>
    <w:rsid w:val="00CD351B"/>
    <w:rsid w:val="00CD66CD"/>
    <w:rsid w:val="00CF0F14"/>
    <w:rsid w:val="00CF5350"/>
    <w:rsid w:val="00D34095"/>
    <w:rsid w:val="00D453A4"/>
    <w:rsid w:val="00D610A4"/>
    <w:rsid w:val="00DA685F"/>
    <w:rsid w:val="00DC4325"/>
    <w:rsid w:val="00DC5142"/>
    <w:rsid w:val="00DE0159"/>
    <w:rsid w:val="00DE4659"/>
    <w:rsid w:val="00E5716C"/>
    <w:rsid w:val="00E72FFB"/>
    <w:rsid w:val="00EE445B"/>
    <w:rsid w:val="00F4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C94C8"/>
  <w15:docId w15:val="{E51A45AD-BE67-4E15-9B24-84A1BD1E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8E0"/>
    <w:rPr>
      <w:sz w:val="22"/>
    </w:rPr>
  </w:style>
  <w:style w:type="paragraph" w:styleId="Heading1">
    <w:name w:val="heading 1"/>
    <w:basedOn w:val="Normal"/>
    <w:next w:val="Normal"/>
    <w:qFormat/>
    <w:rsid w:val="001978E0"/>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1978E0"/>
    <w:pPr>
      <w:tabs>
        <w:tab w:val="center" w:pos="4608"/>
        <w:tab w:val="right" w:pos="9360"/>
      </w:tabs>
      <w:suppressAutoHyphens/>
      <w:jc w:val="both"/>
    </w:pPr>
  </w:style>
  <w:style w:type="paragraph" w:customStyle="1" w:styleId="FTR">
    <w:name w:val="FTR"/>
    <w:basedOn w:val="Normal"/>
    <w:next w:val="SCT"/>
    <w:rsid w:val="001978E0"/>
    <w:pPr>
      <w:tabs>
        <w:tab w:val="right" w:pos="9360"/>
      </w:tabs>
      <w:suppressAutoHyphens/>
      <w:jc w:val="both"/>
    </w:pPr>
  </w:style>
  <w:style w:type="paragraph" w:customStyle="1" w:styleId="SCT">
    <w:name w:val="SCT"/>
    <w:basedOn w:val="Normal"/>
    <w:next w:val="PRT"/>
    <w:rsid w:val="001978E0"/>
    <w:pPr>
      <w:suppressAutoHyphens/>
      <w:spacing w:before="240"/>
      <w:jc w:val="both"/>
    </w:pPr>
  </w:style>
  <w:style w:type="paragraph" w:customStyle="1" w:styleId="PRT">
    <w:name w:val="PRT"/>
    <w:basedOn w:val="Normal"/>
    <w:next w:val="ART"/>
    <w:rsid w:val="001978E0"/>
    <w:pPr>
      <w:numPr>
        <w:numId w:val="1"/>
      </w:numPr>
      <w:suppressAutoHyphens/>
      <w:spacing w:before="240"/>
      <w:jc w:val="both"/>
      <w:outlineLvl w:val="0"/>
    </w:pPr>
  </w:style>
  <w:style w:type="paragraph" w:customStyle="1" w:styleId="SUT">
    <w:name w:val="SUT"/>
    <w:basedOn w:val="Normal"/>
    <w:next w:val="PR1"/>
    <w:rsid w:val="001978E0"/>
    <w:pPr>
      <w:numPr>
        <w:ilvl w:val="1"/>
        <w:numId w:val="1"/>
      </w:numPr>
      <w:suppressAutoHyphens/>
      <w:spacing w:before="240"/>
      <w:jc w:val="both"/>
      <w:outlineLvl w:val="0"/>
    </w:pPr>
  </w:style>
  <w:style w:type="paragraph" w:customStyle="1" w:styleId="DST">
    <w:name w:val="DST"/>
    <w:basedOn w:val="Normal"/>
    <w:next w:val="PR1"/>
    <w:rsid w:val="001978E0"/>
    <w:pPr>
      <w:numPr>
        <w:ilvl w:val="2"/>
        <w:numId w:val="1"/>
      </w:numPr>
      <w:suppressAutoHyphens/>
      <w:spacing w:before="240"/>
      <w:jc w:val="both"/>
      <w:outlineLvl w:val="0"/>
    </w:pPr>
  </w:style>
  <w:style w:type="paragraph" w:customStyle="1" w:styleId="ART">
    <w:name w:val="ART"/>
    <w:basedOn w:val="Normal"/>
    <w:next w:val="PR1"/>
    <w:rsid w:val="001978E0"/>
    <w:pPr>
      <w:numPr>
        <w:ilvl w:val="3"/>
        <w:numId w:val="1"/>
      </w:numPr>
      <w:suppressAutoHyphens/>
      <w:spacing w:before="240"/>
      <w:jc w:val="both"/>
      <w:outlineLvl w:val="1"/>
    </w:pPr>
  </w:style>
  <w:style w:type="paragraph" w:customStyle="1" w:styleId="PR1">
    <w:name w:val="PR1"/>
    <w:basedOn w:val="Normal"/>
    <w:rsid w:val="001978E0"/>
    <w:pPr>
      <w:numPr>
        <w:ilvl w:val="4"/>
        <w:numId w:val="1"/>
      </w:numPr>
      <w:suppressAutoHyphens/>
      <w:spacing w:before="240"/>
      <w:jc w:val="both"/>
      <w:outlineLvl w:val="2"/>
    </w:pPr>
  </w:style>
  <w:style w:type="paragraph" w:customStyle="1" w:styleId="PR2">
    <w:name w:val="PR2"/>
    <w:basedOn w:val="Normal"/>
    <w:rsid w:val="001978E0"/>
    <w:pPr>
      <w:numPr>
        <w:ilvl w:val="5"/>
        <w:numId w:val="1"/>
      </w:numPr>
      <w:suppressAutoHyphens/>
      <w:jc w:val="both"/>
      <w:outlineLvl w:val="3"/>
    </w:pPr>
  </w:style>
  <w:style w:type="paragraph" w:customStyle="1" w:styleId="PR3">
    <w:name w:val="PR3"/>
    <w:basedOn w:val="Normal"/>
    <w:rsid w:val="001978E0"/>
    <w:pPr>
      <w:numPr>
        <w:ilvl w:val="6"/>
        <w:numId w:val="1"/>
      </w:numPr>
      <w:suppressAutoHyphens/>
      <w:jc w:val="both"/>
      <w:outlineLvl w:val="4"/>
    </w:pPr>
  </w:style>
  <w:style w:type="paragraph" w:customStyle="1" w:styleId="PR4">
    <w:name w:val="PR4"/>
    <w:basedOn w:val="Normal"/>
    <w:rsid w:val="001978E0"/>
    <w:pPr>
      <w:numPr>
        <w:ilvl w:val="7"/>
        <w:numId w:val="1"/>
      </w:numPr>
      <w:suppressAutoHyphens/>
      <w:jc w:val="both"/>
      <w:outlineLvl w:val="5"/>
    </w:pPr>
  </w:style>
  <w:style w:type="paragraph" w:customStyle="1" w:styleId="PR5">
    <w:name w:val="PR5"/>
    <w:basedOn w:val="Normal"/>
    <w:rsid w:val="001978E0"/>
    <w:pPr>
      <w:numPr>
        <w:ilvl w:val="8"/>
        <w:numId w:val="1"/>
      </w:numPr>
      <w:suppressAutoHyphens/>
      <w:jc w:val="both"/>
      <w:outlineLvl w:val="6"/>
    </w:pPr>
  </w:style>
  <w:style w:type="paragraph" w:customStyle="1" w:styleId="TB1">
    <w:name w:val="TB1"/>
    <w:basedOn w:val="Normal"/>
    <w:next w:val="PR1"/>
    <w:rsid w:val="001978E0"/>
    <w:pPr>
      <w:suppressAutoHyphens/>
      <w:spacing w:before="240"/>
      <w:ind w:left="288"/>
      <w:jc w:val="both"/>
    </w:pPr>
  </w:style>
  <w:style w:type="paragraph" w:customStyle="1" w:styleId="TB2">
    <w:name w:val="TB2"/>
    <w:basedOn w:val="Normal"/>
    <w:next w:val="PR2"/>
    <w:rsid w:val="001978E0"/>
    <w:pPr>
      <w:suppressAutoHyphens/>
      <w:spacing w:before="240"/>
      <w:ind w:left="864"/>
      <w:jc w:val="both"/>
    </w:pPr>
  </w:style>
  <w:style w:type="paragraph" w:customStyle="1" w:styleId="TB3">
    <w:name w:val="TB3"/>
    <w:basedOn w:val="Normal"/>
    <w:next w:val="PR3"/>
    <w:rsid w:val="001978E0"/>
    <w:pPr>
      <w:suppressAutoHyphens/>
      <w:spacing w:before="240"/>
      <w:ind w:left="1440"/>
      <w:jc w:val="both"/>
    </w:pPr>
  </w:style>
  <w:style w:type="paragraph" w:customStyle="1" w:styleId="TB4">
    <w:name w:val="TB4"/>
    <w:basedOn w:val="Normal"/>
    <w:next w:val="PR4"/>
    <w:rsid w:val="001978E0"/>
    <w:pPr>
      <w:suppressAutoHyphens/>
      <w:spacing w:before="240"/>
      <w:ind w:left="2016"/>
      <w:jc w:val="both"/>
    </w:pPr>
  </w:style>
  <w:style w:type="paragraph" w:customStyle="1" w:styleId="TB5">
    <w:name w:val="TB5"/>
    <w:basedOn w:val="Normal"/>
    <w:next w:val="PR5"/>
    <w:rsid w:val="001978E0"/>
    <w:pPr>
      <w:suppressAutoHyphens/>
      <w:spacing w:before="240"/>
      <w:ind w:left="2592"/>
      <w:jc w:val="both"/>
    </w:pPr>
  </w:style>
  <w:style w:type="paragraph" w:customStyle="1" w:styleId="TCH">
    <w:name w:val="TCH"/>
    <w:basedOn w:val="Normal"/>
    <w:rsid w:val="001978E0"/>
    <w:pPr>
      <w:suppressAutoHyphens/>
    </w:pPr>
  </w:style>
  <w:style w:type="paragraph" w:customStyle="1" w:styleId="TCE">
    <w:name w:val="TCE"/>
    <w:basedOn w:val="Normal"/>
    <w:rsid w:val="001978E0"/>
    <w:pPr>
      <w:suppressAutoHyphens/>
      <w:ind w:left="144" w:hanging="144"/>
    </w:pPr>
  </w:style>
  <w:style w:type="paragraph" w:customStyle="1" w:styleId="EOS">
    <w:name w:val="EOS"/>
    <w:basedOn w:val="Normal"/>
    <w:rsid w:val="001978E0"/>
    <w:pPr>
      <w:suppressAutoHyphens/>
      <w:spacing w:before="240"/>
      <w:jc w:val="both"/>
    </w:pPr>
  </w:style>
  <w:style w:type="paragraph" w:customStyle="1" w:styleId="CMT">
    <w:name w:val="CMT"/>
    <w:basedOn w:val="Normal"/>
    <w:rsid w:val="001978E0"/>
    <w:pPr>
      <w:suppressAutoHyphens/>
      <w:spacing w:before="240"/>
      <w:jc w:val="both"/>
    </w:pPr>
    <w:rPr>
      <w:vanish/>
      <w:color w:val="0000FF"/>
    </w:rPr>
  </w:style>
  <w:style w:type="character" w:customStyle="1" w:styleId="SI">
    <w:name w:val="SI"/>
    <w:basedOn w:val="DefaultParagraphFont"/>
    <w:rsid w:val="001978E0"/>
    <w:rPr>
      <w:color w:val="auto"/>
    </w:rPr>
  </w:style>
  <w:style w:type="character" w:customStyle="1" w:styleId="IP">
    <w:name w:val="IP"/>
    <w:basedOn w:val="DefaultParagraphFont"/>
    <w:rsid w:val="001978E0"/>
    <w:rPr>
      <w:color w:val="000000"/>
    </w:rPr>
  </w:style>
  <w:style w:type="paragraph" w:styleId="Header">
    <w:name w:val="header"/>
    <w:basedOn w:val="Normal"/>
    <w:rsid w:val="001978E0"/>
    <w:pPr>
      <w:tabs>
        <w:tab w:val="center" w:pos="4320"/>
        <w:tab w:val="right" w:pos="8640"/>
      </w:tabs>
    </w:pPr>
  </w:style>
  <w:style w:type="paragraph" w:styleId="Footer">
    <w:name w:val="footer"/>
    <w:basedOn w:val="Normal"/>
    <w:rsid w:val="001978E0"/>
    <w:pPr>
      <w:tabs>
        <w:tab w:val="center" w:pos="4320"/>
        <w:tab w:val="right" w:pos="8640"/>
      </w:tabs>
    </w:pPr>
  </w:style>
  <w:style w:type="paragraph" w:styleId="Title">
    <w:name w:val="Title"/>
    <w:basedOn w:val="Normal"/>
    <w:qFormat/>
    <w:rsid w:val="001978E0"/>
    <w:pPr>
      <w:jc w:val="center"/>
    </w:pPr>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C5D7B38B-29F8-4265-845D-E224933F1DCA}"/>
</file>

<file path=customXml/itemProps2.xml><?xml version="1.0" encoding="utf-8"?>
<ds:datastoreItem xmlns:ds="http://schemas.openxmlformats.org/officeDocument/2006/customXml" ds:itemID="{84D7A322-BC71-41F6-88D1-4463F9C25AA6}"/>
</file>

<file path=customXml/itemProps3.xml><?xml version="1.0" encoding="utf-8"?>
<ds:datastoreItem xmlns:ds="http://schemas.openxmlformats.org/officeDocument/2006/customXml" ds:itemID="{2B566B25-72D0-4C98-B149-23736C28ECC1}"/>
</file>

<file path=docProps/app.xml><?xml version="1.0" encoding="utf-8"?>
<Properties xmlns="http://schemas.openxmlformats.org/officeDocument/2006/extended-properties" xmlns:vt="http://schemas.openxmlformats.org/officeDocument/2006/docPropsVTypes">
  <Template>Normal</Template>
  <TotalTime>5</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16415 - TRANSFER SWITCHES</vt:lpstr>
    </vt:vector>
  </TitlesOfParts>
  <Company>ARCOM, Inc.</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16415 - TRANSFER SWITCHES</dc:title>
  <dc:subject>TRANSFER SWITCHES</dc:subject>
  <dc:creator>ARCOM, Inc.</dc:creator>
  <cp:keywords>BAS-12345-MS80</cp:keywords>
  <cp:lastModifiedBy>Jimmy Myers</cp:lastModifiedBy>
  <cp:revision>14</cp:revision>
  <cp:lastPrinted>2002-06-28T17:59:00Z</cp:lastPrinted>
  <dcterms:created xsi:type="dcterms:W3CDTF">2009-09-28T18:20:00Z</dcterms:created>
  <dcterms:modified xsi:type="dcterms:W3CDTF">2025-04-14T14:39:00Z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