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2064" w14:textId="77777777" w:rsidR="007F5ACB" w:rsidRDefault="007F5ACB">
      <w:pPr>
        <w:pStyle w:val="CMT"/>
        <w:rPr>
          <w:b/>
          <w:sz w:val="20"/>
        </w:rPr>
      </w:pPr>
      <w:r>
        <w:rPr>
          <w:b/>
          <w:sz w:val="20"/>
        </w:rPr>
        <w:t>MASTERSPEC Short Form Copyright 1999, The American Institute of Architects (AIA)</w:t>
      </w:r>
    </w:p>
    <w:p w14:paraId="14597772" w14:textId="77777777" w:rsidR="007F5ACB" w:rsidRDefault="007F5ACB">
      <w:pPr>
        <w:pStyle w:val="SCT"/>
        <w:spacing w:before="0"/>
        <w:rPr>
          <w:b/>
          <w:sz w:val="20"/>
        </w:rPr>
      </w:pPr>
      <w:r>
        <w:rPr>
          <w:b/>
          <w:sz w:val="20"/>
        </w:rPr>
        <w:t>SECTION 16410 - ENCLOSED SWITCHES AND CIRCUIT BREAKERS</w:t>
      </w:r>
    </w:p>
    <w:p w14:paraId="4747FF18" w14:textId="77777777" w:rsidR="007F5ACB" w:rsidRDefault="007F5ACB">
      <w:pPr>
        <w:pStyle w:val="PRT"/>
        <w:rPr>
          <w:sz w:val="20"/>
        </w:rPr>
      </w:pPr>
      <w:r>
        <w:rPr>
          <w:sz w:val="20"/>
        </w:rPr>
        <w:t>GENERAL</w:t>
      </w:r>
    </w:p>
    <w:p w14:paraId="30121BC7" w14:textId="77777777" w:rsidR="007F5ACB" w:rsidRDefault="007F5ACB">
      <w:pPr>
        <w:pStyle w:val="ART"/>
        <w:tabs>
          <w:tab w:val="clear" w:pos="864"/>
          <w:tab w:val="left" w:pos="720"/>
        </w:tabs>
        <w:ind w:left="720" w:hanging="720"/>
        <w:rPr>
          <w:sz w:val="20"/>
        </w:rPr>
      </w:pPr>
      <w:r>
        <w:rPr>
          <w:sz w:val="20"/>
        </w:rPr>
        <w:t>SUMMARY</w:t>
      </w:r>
    </w:p>
    <w:p w14:paraId="41C075E3" w14:textId="77777777" w:rsidR="007F5ACB" w:rsidRDefault="007F5ACB">
      <w:pPr>
        <w:pStyle w:val="PR1"/>
        <w:tabs>
          <w:tab w:val="clear" w:pos="864"/>
        </w:tabs>
        <w:spacing w:before="0"/>
        <w:ind w:left="720" w:hanging="540"/>
        <w:outlineLvl w:val="9"/>
        <w:rPr>
          <w:sz w:val="20"/>
        </w:rPr>
      </w:pPr>
      <w:r>
        <w:rPr>
          <w:sz w:val="20"/>
        </w:rPr>
        <w:t>This Section includes individually mounted enclosed switches and circuit breakers, rated 600 V and less, used for disconnecting and protection functions that are not a part of the package furnished by the Owner’s supplier.</w:t>
      </w:r>
    </w:p>
    <w:p w14:paraId="0F776214" w14:textId="77777777" w:rsidR="007F5ACB" w:rsidRDefault="007F5ACB">
      <w:pPr>
        <w:pStyle w:val="PR1"/>
        <w:tabs>
          <w:tab w:val="clear" w:pos="864"/>
        </w:tabs>
        <w:spacing w:before="0"/>
        <w:ind w:left="720" w:hanging="540"/>
        <w:outlineLvl w:val="9"/>
        <w:rPr>
          <w:sz w:val="20"/>
        </w:rPr>
      </w:pPr>
      <w:r>
        <w:rPr>
          <w:sz w:val="20"/>
        </w:rPr>
        <w:t>See Division 16 Section "Fuses" for fuses for fusible disconnect switches.</w:t>
      </w:r>
    </w:p>
    <w:p w14:paraId="71FA6038" w14:textId="77777777" w:rsidR="007F5ACB" w:rsidRDefault="007F5ACB">
      <w:pPr>
        <w:pStyle w:val="ART"/>
        <w:tabs>
          <w:tab w:val="clear" w:pos="864"/>
          <w:tab w:val="left" w:pos="720"/>
        </w:tabs>
        <w:ind w:left="720" w:hanging="720"/>
        <w:rPr>
          <w:sz w:val="20"/>
        </w:rPr>
      </w:pPr>
      <w:r>
        <w:rPr>
          <w:sz w:val="20"/>
        </w:rPr>
        <w:t>SUBMITTALS</w:t>
      </w:r>
    </w:p>
    <w:p w14:paraId="2D4A4512" w14:textId="77777777" w:rsidR="007F5ACB" w:rsidRDefault="007F5ACB">
      <w:pPr>
        <w:pStyle w:val="PR1"/>
        <w:tabs>
          <w:tab w:val="clear" w:pos="864"/>
        </w:tabs>
        <w:spacing w:before="0"/>
        <w:ind w:left="720" w:hanging="540"/>
        <w:outlineLvl w:val="9"/>
        <w:rPr>
          <w:sz w:val="20"/>
        </w:rPr>
      </w:pPr>
      <w:r>
        <w:rPr>
          <w:sz w:val="20"/>
        </w:rPr>
        <w:t>Completed “Conformance Submittal” included with this Section.</w:t>
      </w:r>
    </w:p>
    <w:p w14:paraId="15489FC7" w14:textId="77777777" w:rsidR="007F5ACB" w:rsidRDefault="007F5ACB">
      <w:pPr>
        <w:pStyle w:val="PR1"/>
        <w:tabs>
          <w:tab w:val="clear" w:pos="864"/>
        </w:tabs>
        <w:spacing w:before="0"/>
        <w:ind w:left="720" w:hanging="540"/>
        <w:outlineLvl w:val="9"/>
        <w:rPr>
          <w:sz w:val="20"/>
        </w:rPr>
      </w:pPr>
      <w:r>
        <w:rPr>
          <w:sz w:val="20"/>
        </w:rPr>
        <w:t>Operation and maintenance data, including manufacturer’s shop drawings.</w:t>
      </w:r>
    </w:p>
    <w:p w14:paraId="1E265FC6" w14:textId="77777777" w:rsidR="007F5ACB" w:rsidRDefault="007F5ACB">
      <w:pPr>
        <w:pStyle w:val="ART"/>
        <w:tabs>
          <w:tab w:val="clear" w:pos="864"/>
          <w:tab w:val="left" w:pos="720"/>
        </w:tabs>
        <w:ind w:left="720" w:hanging="720"/>
        <w:rPr>
          <w:sz w:val="20"/>
        </w:rPr>
      </w:pPr>
      <w:r>
        <w:rPr>
          <w:sz w:val="20"/>
        </w:rPr>
        <w:t>QUALITY ASSURANCE</w:t>
      </w:r>
    </w:p>
    <w:p w14:paraId="4134F789" w14:textId="77777777" w:rsidR="007F5ACB" w:rsidRDefault="007F5ACB">
      <w:pPr>
        <w:pStyle w:val="PR1"/>
        <w:tabs>
          <w:tab w:val="clear" w:pos="864"/>
        </w:tabs>
        <w:spacing w:before="0"/>
        <w:ind w:left="720" w:hanging="540"/>
        <w:outlineLvl w:val="9"/>
        <w:rPr>
          <w:sz w:val="20"/>
        </w:rPr>
      </w:pPr>
      <w:r>
        <w:rPr>
          <w:sz w:val="20"/>
        </w:rPr>
        <w:t>Electrical Components, Devices, and Accessories:  Listed and labeled as defined in NFPA 70, Article 100, by a testing agency acceptable to authorities having jurisdiction, and marked for intended use.</w:t>
      </w:r>
    </w:p>
    <w:p w14:paraId="28091CFC" w14:textId="77777777" w:rsidR="007F5ACB" w:rsidRDefault="007F5ACB">
      <w:pPr>
        <w:pStyle w:val="PR1"/>
        <w:tabs>
          <w:tab w:val="clear" w:pos="864"/>
        </w:tabs>
        <w:spacing w:before="0"/>
        <w:ind w:left="720" w:hanging="540"/>
        <w:outlineLvl w:val="9"/>
        <w:rPr>
          <w:sz w:val="20"/>
        </w:rPr>
      </w:pPr>
      <w:r>
        <w:rPr>
          <w:sz w:val="20"/>
        </w:rPr>
        <w:t>Source Limitations:  Obtain switches and circuit breakers through one source from a single manufacturer.</w:t>
      </w:r>
    </w:p>
    <w:p w14:paraId="00A9BDB4" w14:textId="77777777" w:rsidR="007F5ACB" w:rsidRDefault="007F5ACB">
      <w:pPr>
        <w:pStyle w:val="PR1"/>
        <w:tabs>
          <w:tab w:val="clear" w:pos="864"/>
        </w:tabs>
        <w:spacing w:before="0"/>
        <w:ind w:left="720" w:hanging="540"/>
        <w:outlineLvl w:val="9"/>
        <w:rPr>
          <w:sz w:val="20"/>
        </w:rPr>
      </w:pPr>
      <w:r>
        <w:rPr>
          <w:sz w:val="20"/>
        </w:rPr>
        <w:t>Comply with NFPA 70.</w:t>
      </w:r>
    </w:p>
    <w:p w14:paraId="0ADF40D1" w14:textId="77777777" w:rsidR="007F5ACB" w:rsidRDefault="007F5ACB">
      <w:pPr>
        <w:pStyle w:val="PRT"/>
        <w:rPr>
          <w:sz w:val="20"/>
        </w:rPr>
      </w:pPr>
      <w:r>
        <w:rPr>
          <w:sz w:val="20"/>
        </w:rPr>
        <w:t>PRODUCTS</w:t>
      </w:r>
    </w:p>
    <w:p w14:paraId="31C63BAA" w14:textId="77777777" w:rsidR="007F5ACB" w:rsidRDefault="007F5ACB">
      <w:pPr>
        <w:pStyle w:val="ART"/>
        <w:tabs>
          <w:tab w:val="clear" w:pos="864"/>
          <w:tab w:val="left" w:pos="720"/>
        </w:tabs>
        <w:ind w:left="720" w:hanging="720"/>
        <w:rPr>
          <w:sz w:val="20"/>
        </w:rPr>
      </w:pPr>
      <w:r>
        <w:rPr>
          <w:sz w:val="20"/>
        </w:rPr>
        <w:t>MANUFACTURERS</w:t>
      </w:r>
    </w:p>
    <w:p w14:paraId="1CEBAE68" w14:textId="77777777" w:rsidR="007F5ACB" w:rsidRDefault="007F5ACB">
      <w:pPr>
        <w:pStyle w:val="CMT"/>
        <w:ind w:left="720" w:hanging="540"/>
        <w:rPr>
          <w:sz w:val="20"/>
        </w:rPr>
      </w:pPr>
      <w:r>
        <w:rPr>
          <w:sz w:val="20"/>
        </w:rPr>
        <w:t>See Editing Instruction No. 1 in the Evaluations for cautions about naming manufacturers and products.</w:t>
      </w:r>
    </w:p>
    <w:p w14:paraId="188E8C1C" w14:textId="77777777" w:rsidR="007F5ACB" w:rsidRDefault="007F5ACB">
      <w:pPr>
        <w:pStyle w:val="CMT"/>
        <w:ind w:left="720" w:hanging="540"/>
        <w:rPr>
          <w:sz w:val="20"/>
        </w:rPr>
      </w:pPr>
      <w:r>
        <w:rPr>
          <w:sz w:val="20"/>
        </w:rPr>
        <w:t>Retain above for nonproprietary or below for semiproprietary specification.  Refer to Division 1 Section "Product Requirements."</w:t>
      </w:r>
    </w:p>
    <w:p w14:paraId="2FA1D278" w14:textId="77777777" w:rsidR="007F5ACB" w:rsidRDefault="007F5ACB">
      <w:pPr>
        <w:pStyle w:val="PR1"/>
        <w:tabs>
          <w:tab w:val="clear" w:pos="864"/>
        </w:tabs>
        <w:spacing w:before="0"/>
        <w:ind w:left="720" w:hanging="540"/>
        <w:outlineLvl w:val="9"/>
        <w:rPr>
          <w:sz w:val="20"/>
        </w:rPr>
      </w:pPr>
      <w:r>
        <w:rPr>
          <w:sz w:val="20"/>
        </w:rPr>
        <w:t>Manufacturers:  Subject to compliance with requirements, provide products by  the following:</w:t>
      </w:r>
    </w:p>
    <w:p w14:paraId="6E1421F1" w14:textId="77777777" w:rsidR="007F5ACB" w:rsidRDefault="007F5ACB">
      <w:pPr>
        <w:pStyle w:val="PR2"/>
        <w:tabs>
          <w:tab w:val="clear" w:pos="1440"/>
        </w:tabs>
        <w:ind w:left="1080" w:hanging="360"/>
        <w:rPr>
          <w:sz w:val="20"/>
        </w:rPr>
      </w:pPr>
      <w:r>
        <w:rPr>
          <w:sz w:val="20"/>
        </w:rPr>
        <w:t>Square D Company</w:t>
      </w:r>
    </w:p>
    <w:p w14:paraId="156702AB" w14:textId="77777777" w:rsidR="007F5ACB" w:rsidRDefault="007F5ACB">
      <w:pPr>
        <w:pStyle w:val="ART"/>
        <w:tabs>
          <w:tab w:val="clear" w:pos="864"/>
          <w:tab w:val="left" w:pos="720"/>
        </w:tabs>
        <w:ind w:left="720" w:hanging="720"/>
        <w:rPr>
          <w:sz w:val="20"/>
        </w:rPr>
      </w:pPr>
      <w:r>
        <w:rPr>
          <w:sz w:val="20"/>
        </w:rPr>
        <w:t>ENCLOSED SWITCHES</w:t>
      </w:r>
    </w:p>
    <w:p w14:paraId="2BDE0967" w14:textId="77777777" w:rsidR="007F5ACB" w:rsidRDefault="007F5ACB">
      <w:pPr>
        <w:pStyle w:val="CMT"/>
        <w:ind w:left="720" w:hanging="540"/>
        <w:rPr>
          <w:sz w:val="20"/>
        </w:rPr>
      </w:pPr>
      <w:r>
        <w:rPr>
          <w:sz w:val="20"/>
        </w:rPr>
        <w:t>In two paragraphs below, consider general-duty (Type GD) switches for light-commercial applications, 240 V or less; otherwise, select heavy duty (Type HD).  See Editing Instruction No. 2 in the Evaluations.</w:t>
      </w:r>
    </w:p>
    <w:p w14:paraId="001B7F80" w14:textId="77777777" w:rsidR="007F5ACB" w:rsidRDefault="007F5ACB">
      <w:pPr>
        <w:pStyle w:val="PR1"/>
        <w:tabs>
          <w:tab w:val="clear" w:pos="864"/>
        </w:tabs>
        <w:spacing w:before="0"/>
        <w:ind w:left="720" w:hanging="540"/>
        <w:outlineLvl w:val="9"/>
        <w:rPr>
          <w:sz w:val="20"/>
        </w:rPr>
      </w:pPr>
      <w:r>
        <w:rPr>
          <w:sz w:val="20"/>
        </w:rPr>
        <w:t xml:space="preserve">Enclosed, </w:t>
      </w:r>
      <w:proofErr w:type="spellStart"/>
      <w:r>
        <w:rPr>
          <w:sz w:val="20"/>
        </w:rPr>
        <w:t>Nonfusible</w:t>
      </w:r>
      <w:proofErr w:type="spellEnd"/>
      <w:r>
        <w:rPr>
          <w:sz w:val="20"/>
        </w:rPr>
        <w:t xml:space="preserve"> Switch:  NEMA KS 1, Type  GD, with lockable handle, interlocked with cover.</w:t>
      </w:r>
    </w:p>
    <w:p w14:paraId="39F70520" w14:textId="77777777" w:rsidR="007F5ACB" w:rsidRDefault="007F5ACB">
      <w:pPr>
        <w:pStyle w:val="CMT"/>
        <w:ind w:left="720" w:hanging="540"/>
        <w:rPr>
          <w:sz w:val="20"/>
        </w:rPr>
      </w:pPr>
      <w:r>
        <w:rPr>
          <w:sz w:val="20"/>
        </w:rPr>
        <w:t>Edit below to indicate Project requirement for bolted-pressure contact switch, and high-pressure butt contact switch, or use Division 16 Section "Fused Power Circuit Devices" to specify these switches.</w:t>
      </w:r>
    </w:p>
    <w:p w14:paraId="548C7C3C" w14:textId="77777777" w:rsidR="007F5ACB" w:rsidRDefault="007F5ACB">
      <w:pPr>
        <w:pStyle w:val="PR1"/>
        <w:tabs>
          <w:tab w:val="clear" w:pos="864"/>
        </w:tabs>
        <w:spacing w:before="0"/>
        <w:ind w:left="720" w:hanging="540"/>
        <w:outlineLvl w:val="9"/>
        <w:rPr>
          <w:sz w:val="20"/>
        </w:rPr>
      </w:pPr>
      <w:r>
        <w:rPr>
          <w:sz w:val="20"/>
        </w:rPr>
        <w:t>Enclosed, Fusible Switch, 800 A and Smaller: NEMA KS 1, Type GD, with clips to accommodate specified fuses, and lockable handle, interlocked with cover.</w:t>
      </w:r>
    </w:p>
    <w:p w14:paraId="2C86E955" w14:textId="77777777" w:rsidR="007F5ACB" w:rsidRDefault="007F5ACB">
      <w:pPr>
        <w:pStyle w:val="ART"/>
        <w:tabs>
          <w:tab w:val="clear" w:pos="864"/>
          <w:tab w:val="left" w:pos="720"/>
        </w:tabs>
        <w:ind w:left="720" w:hanging="720"/>
        <w:rPr>
          <w:sz w:val="20"/>
        </w:rPr>
      </w:pPr>
      <w:r>
        <w:rPr>
          <w:sz w:val="20"/>
        </w:rPr>
        <w:t>ENCLOSED CIRCUIT BREAKERS</w:t>
      </w:r>
    </w:p>
    <w:p w14:paraId="4EB22C0F" w14:textId="77777777" w:rsidR="007F5ACB" w:rsidRDefault="007F5ACB">
      <w:pPr>
        <w:pStyle w:val="PR1"/>
        <w:tabs>
          <w:tab w:val="clear" w:pos="864"/>
        </w:tabs>
        <w:spacing w:before="0"/>
        <w:ind w:left="720" w:hanging="540"/>
        <w:outlineLvl w:val="9"/>
        <w:rPr>
          <w:sz w:val="20"/>
        </w:rPr>
      </w:pPr>
      <w:r>
        <w:rPr>
          <w:sz w:val="20"/>
        </w:rPr>
        <w:t>Molded-Case Circuit Breaker:  NEMA AB 1, with interrupting capacity to meet available fault currents.</w:t>
      </w:r>
    </w:p>
    <w:p w14:paraId="24510E8C" w14:textId="77777777" w:rsidR="007F5ACB" w:rsidRDefault="007F5ACB">
      <w:pPr>
        <w:pStyle w:val="PR2"/>
        <w:tabs>
          <w:tab w:val="clear" w:pos="1440"/>
        </w:tabs>
        <w:ind w:left="1080" w:hanging="360"/>
        <w:rPr>
          <w:sz w:val="20"/>
        </w:rPr>
      </w:pPr>
      <w:r>
        <w:rPr>
          <w:sz w:val="20"/>
        </w:rPr>
        <w:t>Thermal-Magnetic Circuit Breakers:  Inverse time-current element for low-level overloads, and instantaneous magnetic trip element for short circuits.  Adjustable magnetic trip setting for circuit-breaker frame sizes 250 A and larger.</w:t>
      </w:r>
    </w:p>
    <w:p w14:paraId="54A7D531" w14:textId="77777777" w:rsidR="007F5ACB" w:rsidRDefault="007F5ACB">
      <w:pPr>
        <w:pStyle w:val="PR1"/>
        <w:tabs>
          <w:tab w:val="clear" w:pos="864"/>
        </w:tabs>
        <w:spacing w:before="0"/>
        <w:ind w:left="720" w:hanging="540"/>
        <w:outlineLvl w:val="9"/>
        <w:rPr>
          <w:sz w:val="20"/>
        </w:rPr>
      </w:pPr>
      <w:r>
        <w:rPr>
          <w:sz w:val="20"/>
        </w:rPr>
        <w:t>Molded-Case Circuit-Breaker Features and Accessories:  Standard frame sizes, trip ratings, and number of poles.</w:t>
      </w:r>
    </w:p>
    <w:p w14:paraId="45AAABD1" w14:textId="77777777" w:rsidR="007F5ACB" w:rsidRDefault="007F5ACB">
      <w:pPr>
        <w:pStyle w:val="PR2"/>
        <w:tabs>
          <w:tab w:val="clear" w:pos="1440"/>
        </w:tabs>
        <w:ind w:left="1080" w:hanging="360"/>
        <w:rPr>
          <w:sz w:val="20"/>
        </w:rPr>
      </w:pPr>
      <w:r>
        <w:rPr>
          <w:sz w:val="20"/>
        </w:rPr>
        <w:t>Lugs:  Suitable for number, size, trip ratings, and material of conductors.</w:t>
      </w:r>
    </w:p>
    <w:p w14:paraId="3F8E43CC" w14:textId="77777777" w:rsidR="007F5ACB" w:rsidRDefault="007F5ACB">
      <w:pPr>
        <w:pStyle w:val="PR2"/>
        <w:tabs>
          <w:tab w:val="clear" w:pos="1440"/>
        </w:tabs>
        <w:ind w:left="1080" w:hanging="360"/>
        <w:rPr>
          <w:sz w:val="20"/>
        </w:rPr>
      </w:pPr>
      <w:r>
        <w:rPr>
          <w:sz w:val="20"/>
        </w:rPr>
        <w:t>Application Listing:  Appropriate for application; Type SWD for switching lighting loads; Type HACR for heating, air-conditioning, and refrigerating equipment.</w:t>
      </w:r>
    </w:p>
    <w:p w14:paraId="4FCBBEE7" w14:textId="77777777" w:rsidR="007F5ACB" w:rsidRDefault="007F5ACB">
      <w:pPr>
        <w:pStyle w:val="PR2"/>
        <w:tabs>
          <w:tab w:val="clear" w:pos="1440"/>
        </w:tabs>
        <w:ind w:left="1080" w:hanging="360"/>
        <w:rPr>
          <w:sz w:val="20"/>
        </w:rPr>
      </w:pPr>
      <w:r>
        <w:rPr>
          <w:sz w:val="20"/>
        </w:rPr>
        <w:t>Shunt Trip:  120-V trip coil energized from separate circuit, set to trip at 75 percent of rated voltage.</w:t>
      </w:r>
    </w:p>
    <w:p w14:paraId="56677CEF" w14:textId="77777777" w:rsidR="007F5ACB" w:rsidRDefault="007F5ACB">
      <w:pPr>
        <w:pStyle w:val="ART"/>
        <w:tabs>
          <w:tab w:val="clear" w:pos="864"/>
          <w:tab w:val="left" w:pos="720"/>
        </w:tabs>
        <w:ind w:left="720" w:hanging="720"/>
        <w:rPr>
          <w:sz w:val="20"/>
        </w:rPr>
      </w:pPr>
      <w:r>
        <w:rPr>
          <w:sz w:val="20"/>
        </w:rPr>
        <w:lastRenderedPageBreak/>
        <w:t>ENCLOSURES</w:t>
      </w:r>
    </w:p>
    <w:p w14:paraId="5B30AE92" w14:textId="77777777" w:rsidR="007F5ACB" w:rsidRDefault="007F5ACB">
      <w:pPr>
        <w:pStyle w:val="PR1"/>
        <w:tabs>
          <w:tab w:val="clear" w:pos="864"/>
        </w:tabs>
        <w:spacing w:before="0"/>
        <w:ind w:left="720" w:hanging="540"/>
        <w:outlineLvl w:val="9"/>
        <w:rPr>
          <w:sz w:val="20"/>
        </w:rPr>
      </w:pPr>
      <w:r>
        <w:rPr>
          <w:sz w:val="20"/>
        </w:rPr>
        <w:t>Listed for environmental conditions of installed locations, including:</w:t>
      </w:r>
    </w:p>
    <w:p w14:paraId="75A5F765" w14:textId="77777777" w:rsidR="007F5ACB" w:rsidRDefault="007F5ACB">
      <w:pPr>
        <w:pStyle w:val="CMT"/>
        <w:ind w:left="1080" w:hanging="360"/>
        <w:rPr>
          <w:sz w:val="20"/>
        </w:rPr>
      </w:pPr>
      <w:r>
        <w:rPr>
          <w:sz w:val="20"/>
        </w:rPr>
        <w:t>Delete nonapplicable subparagraphs below.  Edit to suit Project.  Coordinate with Drawings.  See the Evaluations and Editing Instruction No. 2 in the Evaluations for discussion of enclosures.</w:t>
      </w:r>
    </w:p>
    <w:p w14:paraId="7B10CE28" w14:textId="77777777" w:rsidR="007F5ACB" w:rsidRDefault="007F5ACB">
      <w:pPr>
        <w:pStyle w:val="PR2"/>
        <w:tabs>
          <w:tab w:val="clear" w:pos="1440"/>
        </w:tabs>
        <w:ind w:left="1080" w:hanging="360"/>
        <w:rPr>
          <w:sz w:val="20"/>
        </w:rPr>
      </w:pPr>
      <w:r>
        <w:rPr>
          <w:sz w:val="20"/>
        </w:rPr>
        <w:t>Outdoor Locations:  NEMA 250, Type 3R.</w:t>
      </w:r>
    </w:p>
    <w:p w14:paraId="4EC1C719" w14:textId="77777777" w:rsidR="007F5ACB" w:rsidRDefault="007F5ACB">
      <w:pPr>
        <w:pStyle w:val="PR2"/>
        <w:tabs>
          <w:tab w:val="clear" w:pos="1440"/>
        </w:tabs>
        <w:ind w:left="1080" w:hanging="360"/>
        <w:rPr>
          <w:sz w:val="20"/>
        </w:rPr>
      </w:pPr>
      <w:r>
        <w:rPr>
          <w:sz w:val="20"/>
        </w:rPr>
        <w:t>Other Wet or Damp Indoor Locations:  NEMA 250, Type 4.</w:t>
      </w:r>
    </w:p>
    <w:p w14:paraId="7AFFD994" w14:textId="77777777" w:rsidR="007F5ACB" w:rsidRDefault="007F5ACB">
      <w:pPr>
        <w:pStyle w:val="PRT"/>
        <w:rPr>
          <w:sz w:val="20"/>
        </w:rPr>
      </w:pPr>
      <w:r>
        <w:rPr>
          <w:sz w:val="20"/>
        </w:rPr>
        <w:t>EXECUTION</w:t>
      </w:r>
    </w:p>
    <w:p w14:paraId="444AF841" w14:textId="77777777" w:rsidR="007F5ACB" w:rsidRDefault="007F5ACB">
      <w:pPr>
        <w:pStyle w:val="ART"/>
        <w:tabs>
          <w:tab w:val="clear" w:pos="864"/>
          <w:tab w:val="left" w:pos="720"/>
        </w:tabs>
        <w:ind w:left="720" w:hanging="720"/>
        <w:rPr>
          <w:sz w:val="20"/>
        </w:rPr>
      </w:pPr>
      <w:r>
        <w:rPr>
          <w:sz w:val="20"/>
        </w:rPr>
        <w:t>INSTALLATION</w:t>
      </w:r>
    </w:p>
    <w:p w14:paraId="0B22A843" w14:textId="77777777" w:rsidR="007F5ACB" w:rsidRDefault="007F5ACB">
      <w:pPr>
        <w:pStyle w:val="PR1"/>
        <w:tabs>
          <w:tab w:val="clear" w:pos="864"/>
        </w:tabs>
        <w:spacing w:before="0"/>
        <w:ind w:left="720" w:hanging="540"/>
        <w:outlineLvl w:val="9"/>
        <w:rPr>
          <w:sz w:val="20"/>
        </w:rPr>
      </w:pPr>
      <w:r>
        <w:rPr>
          <w:sz w:val="20"/>
        </w:rPr>
        <w:t>Temporary Provisions:  Remove temporary lifting provisions and blocking of moving parts.</w:t>
      </w:r>
    </w:p>
    <w:p w14:paraId="4B9DD33A" w14:textId="77777777" w:rsidR="007F5ACB" w:rsidRDefault="007F5ACB">
      <w:pPr>
        <w:pStyle w:val="PR1"/>
        <w:tabs>
          <w:tab w:val="clear" w:pos="864"/>
        </w:tabs>
        <w:spacing w:before="0"/>
        <w:ind w:left="720" w:hanging="540"/>
        <w:outlineLvl w:val="9"/>
        <w:rPr>
          <w:sz w:val="20"/>
        </w:rPr>
      </w:pPr>
      <w:r>
        <w:rPr>
          <w:sz w:val="20"/>
        </w:rPr>
        <w:t>Identify components; provide warning signs as specified in Division 16 Section "Basic Electrical Materials and Methods."</w:t>
      </w:r>
    </w:p>
    <w:p w14:paraId="00BD3D74" w14:textId="77777777" w:rsidR="007F5ACB" w:rsidRDefault="007F5ACB">
      <w:pPr>
        <w:pStyle w:val="ART"/>
        <w:tabs>
          <w:tab w:val="clear" w:pos="864"/>
          <w:tab w:val="left" w:pos="720"/>
        </w:tabs>
        <w:ind w:left="720" w:hanging="720"/>
        <w:rPr>
          <w:sz w:val="20"/>
        </w:rPr>
      </w:pPr>
      <w:r>
        <w:rPr>
          <w:sz w:val="20"/>
        </w:rPr>
        <w:br w:type="page"/>
      </w:r>
      <w:r>
        <w:rPr>
          <w:sz w:val="20"/>
        </w:rPr>
        <w:lastRenderedPageBreak/>
        <w:t>FIELD QUALITY CONTROL</w:t>
      </w:r>
    </w:p>
    <w:p w14:paraId="76EB3566" w14:textId="77777777" w:rsidR="007F5ACB" w:rsidRDefault="007F5ACB">
      <w:pPr>
        <w:pStyle w:val="PR1"/>
        <w:tabs>
          <w:tab w:val="clear" w:pos="864"/>
        </w:tabs>
        <w:spacing w:before="0"/>
        <w:ind w:left="720" w:hanging="540"/>
        <w:outlineLvl w:val="9"/>
        <w:rPr>
          <w:sz w:val="20"/>
        </w:rPr>
      </w:pPr>
      <w:r>
        <w:rPr>
          <w:sz w:val="20"/>
        </w:rPr>
        <w:t>Testing:  After installing disconnect switches and circuit breakers and after electrical circuits have been energized, demonstrate product capability and compliance with requirements.</w:t>
      </w:r>
    </w:p>
    <w:p w14:paraId="386C74FB" w14:textId="77777777" w:rsidR="007F5ACB" w:rsidRDefault="007F5ACB">
      <w:pPr>
        <w:pStyle w:val="PR1"/>
        <w:tabs>
          <w:tab w:val="clear" w:pos="864"/>
        </w:tabs>
        <w:spacing w:before="0"/>
        <w:ind w:left="720" w:hanging="540"/>
        <w:outlineLvl w:val="9"/>
        <w:rPr>
          <w:sz w:val="20"/>
        </w:rPr>
      </w:pPr>
      <w:r>
        <w:rPr>
          <w:sz w:val="20"/>
        </w:rPr>
        <w:t>Inspections and Tests for Switches and Circuit Breakers:  Make internal and external inspections and perform tests, including the following:</w:t>
      </w:r>
    </w:p>
    <w:p w14:paraId="33D087FE" w14:textId="77777777" w:rsidR="007F5ACB" w:rsidRDefault="007F5ACB">
      <w:pPr>
        <w:pStyle w:val="PR2"/>
        <w:tabs>
          <w:tab w:val="clear" w:pos="1440"/>
        </w:tabs>
        <w:ind w:left="1080" w:hanging="360"/>
        <w:rPr>
          <w:sz w:val="20"/>
        </w:rPr>
      </w:pPr>
      <w:r>
        <w:rPr>
          <w:sz w:val="20"/>
        </w:rPr>
        <w:t>Inspect for freedom from physical damage, proper unit rating, mechanical condition, enclosure integrity, cover operation, unit anchorage, clearances, and tightness of electrical connections.  If a loose electrical connection is observed on any unit, check each electrical connection for each switch and circuit breaker with a torque wrench for compliance with manufacturer's torquing instructions.</w:t>
      </w:r>
    </w:p>
    <w:p w14:paraId="61FDE7B3" w14:textId="77777777" w:rsidR="007F5ACB" w:rsidRDefault="007F5ACB">
      <w:pPr>
        <w:pStyle w:val="PR2"/>
        <w:tabs>
          <w:tab w:val="clear" w:pos="1440"/>
        </w:tabs>
        <w:ind w:left="1080" w:hanging="360"/>
        <w:rPr>
          <w:sz w:val="20"/>
        </w:rPr>
      </w:pPr>
      <w:r>
        <w:rPr>
          <w:sz w:val="20"/>
        </w:rPr>
        <w:t>Test cover and other interlocks and interlock release devices for proper operation.</w:t>
      </w:r>
    </w:p>
    <w:p w14:paraId="64AEA25B" w14:textId="77777777" w:rsidR="007F5ACB" w:rsidRDefault="007F5ACB">
      <w:pPr>
        <w:pStyle w:val="PR1"/>
        <w:tabs>
          <w:tab w:val="clear" w:pos="864"/>
        </w:tabs>
        <w:spacing w:before="0"/>
        <w:ind w:left="720" w:hanging="540"/>
        <w:outlineLvl w:val="9"/>
        <w:rPr>
          <w:sz w:val="20"/>
        </w:rPr>
      </w:pPr>
      <w:r>
        <w:rPr>
          <w:sz w:val="20"/>
        </w:rPr>
        <w:t>Additional Inspections and Tests for Switches:  Include the following:</w:t>
      </w:r>
    </w:p>
    <w:p w14:paraId="1A975F38" w14:textId="77777777" w:rsidR="007F5ACB" w:rsidRDefault="007F5ACB">
      <w:pPr>
        <w:pStyle w:val="PR2"/>
        <w:tabs>
          <w:tab w:val="clear" w:pos="1440"/>
        </w:tabs>
        <w:ind w:left="1080" w:hanging="360"/>
        <w:rPr>
          <w:sz w:val="20"/>
        </w:rPr>
      </w:pPr>
      <w:r>
        <w:rPr>
          <w:sz w:val="20"/>
        </w:rPr>
        <w:t>Inspect for proper rating and fuse provisions.</w:t>
      </w:r>
    </w:p>
    <w:p w14:paraId="3C2C98DF" w14:textId="77777777" w:rsidR="007F5ACB" w:rsidRDefault="007F5ACB">
      <w:pPr>
        <w:pStyle w:val="PR2"/>
        <w:tabs>
          <w:tab w:val="clear" w:pos="1440"/>
        </w:tabs>
        <w:ind w:left="1080" w:hanging="360"/>
        <w:rPr>
          <w:sz w:val="20"/>
        </w:rPr>
      </w:pPr>
      <w:r>
        <w:rPr>
          <w:sz w:val="20"/>
        </w:rPr>
        <w:t xml:space="preserve">Check adequacy and integrity of </w:t>
      </w:r>
      <w:proofErr w:type="spellStart"/>
      <w:r>
        <w:rPr>
          <w:sz w:val="20"/>
        </w:rPr>
        <w:t>fuseholders</w:t>
      </w:r>
      <w:proofErr w:type="spellEnd"/>
      <w:r>
        <w:rPr>
          <w:sz w:val="20"/>
        </w:rPr>
        <w:t xml:space="preserve"> by removing and installing fuses.</w:t>
      </w:r>
    </w:p>
    <w:p w14:paraId="15F17F54" w14:textId="77777777" w:rsidR="007F5ACB" w:rsidRDefault="007F5ACB">
      <w:pPr>
        <w:pStyle w:val="PR2"/>
        <w:tabs>
          <w:tab w:val="clear" w:pos="1440"/>
        </w:tabs>
        <w:ind w:left="1080" w:hanging="360"/>
        <w:rPr>
          <w:sz w:val="20"/>
        </w:rPr>
      </w:pPr>
      <w:r>
        <w:rPr>
          <w:sz w:val="20"/>
        </w:rPr>
        <w:t>Check integrity of phase barriers.</w:t>
      </w:r>
    </w:p>
    <w:p w14:paraId="6CAE6499" w14:textId="77777777" w:rsidR="007F5ACB" w:rsidRDefault="007F5ACB">
      <w:pPr>
        <w:pStyle w:val="PR2"/>
        <w:tabs>
          <w:tab w:val="clear" w:pos="1440"/>
        </w:tabs>
        <w:ind w:left="1080" w:hanging="360"/>
        <w:rPr>
          <w:sz w:val="20"/>
        </w:rPr>
      </w:pPr>
      <w:r>
        <w:rPr>
          <w:sz w:val="20"/>
        </w:rPr>
        <w:t>Inspect blade alignment visually while operating switch to observe adequacy of blade pressure.</w:t>
      </w:r>
    </w:p>
    <w:p w14:paraId="79562C6D" w14:textId="77777777" w:rsidR="007F5ACB" w:rsidRDefault="007F5ACB">
      <w:pPr>
        <w:pStyle w:val="PR1"/>
        <w:tabs>
          <w:tab w:val="clear" w:pos="864"/>
        </w:tabs>
        <w:spacing w:before="0"/>
        <w:ind w:left="720" w:hanging="540"/>
        <w:outlineLvl w:val="9"/>
        <w:rPr>
          <w:sz w:val="20"/>
        </w:rPr>
      </w:pPr>
      <w:r>
        <w:rPr>
          <w:sz w:val="20"/>
        </w:rPr>
        <w:t>Additional Inspections and Tests for Circuit Breakers:  Include the following:</w:t>
      </w:r>
    </w:p>
    <w:p w14:paraId="79F352B2" w14:textId="77777777" w:rsidR="007F5ACB" w:rsidRDefault="007F5ACB">
      <w:pPr>
        <w:pStyle w:val="PR2"/>
        <w:tabs>
          <w:tab w:val="clear" w:pos="1440"/>
        </w:tabs>
        <w:ind w:left="1080" w:hanging="360"/>
        <w:rPr>
          <w:sz w:val="20"/>
        </w:rPr>
      </w:pPr>
      <w:r>
        <w:rPr>
          <w:sz w:val="20"/>
        </w:rPr>
        <w:t>Inspect for proper frame, trip, and fault current interrupting rating.</w:t>
      </w:r>
    </w:p>
    <w:p w14:paraId="06B875AC" w14:textId="77777777" w:rsidR="007F5ACB" w:rsidRDefault="007F5ACB">
      <w:pPr>
        <w:pStyle w:val="PR2"/>
        <w:tabs>
          <w:tab w:val="clear" w:pos="1440"/>
        </w:tabs>
        <w:ind w:left="1080" w:hanging="360"/>
        <w:rPr>
          <w:sz w:val="20"/>
        </w:rPr>
      </w:pPr>
      <w:r>
        <w:rPr>
          <w:sz w:val="20"/>
        </w:rPr>
        <w:t>Test shunt trip devices, circuits, and actuating components for proper operation.</w:t>
      </w:r>
    </w:p>
    <w:p w14:paraId="6D86F676" w14:textId="77777777" w:rsidR="007F5ACB" w:rsidRDefault="007F5ACB">
      <w:pPr>
        <w:pStyle w:val="PR1"/>
        <w:tabs>
          <w:tab w:val="clear" w:pos="864"/>
          <w:tab w:val="left" w:pos="720"/>
        </w:tabs>
        <w:spacing w:before="0"/>
        <w:ind w:left="720" w:hanging="540"/>
        <w:outlineLvl w:val="9"/>
        <w:rPr>
          <w:sz w:val="20"/>
        </w:rPr>
      </w:pPr>
      <w:r>
        <w:rPr>
          <w:sz w:val="20"/>
        </w:rPr>
        <w:t>Correct defective and malfunctioning units on-site, where possible, and reinspect and retest to demonstrate compliance; otherwise, remove and replace with new units and retest.</w:t>
      </w:r>
    </w:p>
    <w:p w14:paraId="6DAA08CC" w14:textId="77777777" w:rsidR="007F5ACB" w:rsidRDefault="007F5ACB">
      <w:pPr>
        <w:pStyle w:val="EOS"/>
        <w:jc w:val="center"/>
        <w:rPr>
          <w:sz w:val="20"/>
        </w:rPr>
      </w:pPr>
      <w:r>
        <w:rPr>
          <w:sz w:val="20"/>
        </w:rPr>
        <w:t>END OF SECTION 16410</w:t>
      </w:r>
    </w:p>
    <w:p w14:paraId="2F2064BC" w14:textId="77777777" w:rsidR="007F5ACB" w:rsidRDefault="007F5ACB">
      <w:pPr>
        <w:pStyle w:val="EOS"/>
        <w:rPr>
          <w:sz w:val="20"/>
        </w:rPr>
        <w:sectPr w:rsidR="007F5ACB">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sectPr>
      </w:pPr>
    </w:p>
    <w:p w14:paraId="08C5460F" w14:textId="77777777" w:rsidR="007F5ACB" w:rsidRDefault="007F5ACB">
      <w:pPr>
        <w:pStyle w:val="Title"/>
        <w:rPr>
          <w:sz w:val="20"/>
        </w:rPr>
      </w:pPr>
      <w:r>
        <w:rPr>
          <w:sz w:val="20"/>
        </w:rPr>
        <w:lastRenderedPageBreak/>
        <w:t>CONFORMANCE SUBMITTAL</w:t>
      </w:r>
    </w:p>
    <w:p w14:paraId="131D650D" w14:textId="77777777" w:rsidR="007F5ACB" w:rsidRDefault="007F5ACB">
      <w:pPr>
        <w:pStyle w:val="Title"/>
        <w:rPr>
          <w:sz w:val="20"/>
        </w:rPr>
      </w:pPr>
      <w:r>
        <w:rPr>
          <w:sz w:val="20"/>
        </w:rPr>
        <w:t xml:space="preserve">Section 16410 – Enclosed Switches and Circuit Breakers </w:t>
      </w:r>
    </w:p>
    <w:p w14:paraId="69BA4EA8" w14:textId="77777777" w:rsidR="007F5ACB" w:rsidRDefault="007F5ACB">
      <w:pPr>
        <w:rPr>
          <w:sz w:val="20"/>
        </w:rPr>
      </w:pPr>
    </w:p>
    <w:p w14:paraId="2B685FF2" w14:textId="77777777" w:rsidR="007F5ACB" w:rsidRDefault="007F5ACB">
      <w:pPr>
        <w:rPr>
          <w:sz w:val="20"/>
        </w:rPr>
      </w:pPr>
      <w:r>
        <w:rPr>
          <w:sz w:val="20"/>
        </w:rPr>
        <w:t>Lowe’s of _______________________________________________________________________</w:t>
      </w:r>
    </w:p>
    <w:p w14:paraId="5E358361" w14:textId="77777777" w:rsidR="007F5ACB" w:rsidRDefault="007F5ACB">
      <w:pPr>
        <w:rPr>
          <w:sz w:val="20"/>
        </w:rPr>
      </w:pPr>
      <w:r>
        <w:rPr>
          <w:sz w:val="20"/>
        </w:rPr>
        <w:tab/>
      </w:r>
      <w:r>
        <w:rPr>
          <w:sz w:val="20"/>
        </w:rPr>
        <w:tab/>
      </w:r>
      <w:r>
        <w:rPr>
          <w:sz w:val="20"/>
        </w:rPr>
        <w:tab/>
      </w:r>
      <w:r>
        <w:rPr>
          <w:sz w:val="20"/>
        </w:rPr>
        <w:tab/>
      </w:r>
      <w:r>
        <w:rPr>
          <w:sz w:val="20"/>
        </w:rPr>
        <w:tab/>
        <w:t>(</w:t>
      </w:r>
      <w:r>
        <w:rPr>
          <w:i/>
          <w:sz w:val="20"/>
        </w:rPr>
        <w:t>City, State</w:t>
      </w:r>
      <w:r>
        <w:rPr>
          <w:sz w:val="20"/>
        </w:rPr>
        <w:t>)</w:t>
      </w:r>
    </w:p>
    <w:p w14:paraId="45FE107B" w14:textId="77777777" w:rsidR="007F5ACB" w:rsidRDefault="007F5ACB">
      <w:pPr>
        <w:rPr>
          <w:sz w:val="20"/>
        </w:rPr>
      </w:pPr>
    </w:p>
    <w:p w14:paraId="3ECB1C45" w14:textId="77777777" w:rsidR="007F5ACB" w:rsidRDefault="007F5ACB">
      <w:pPr>
        <w:rPr>
          <w:sz w:val="20"/>
        </w:rPr>
      </w:pPr>
      <w:r>
        <w:rPr>
          <w:sz w:val="20"/>
        </w:rPr>
        <w:t>General Contractor:</w:t>
      </w:r>
      <w:r>
        <w:rPr>
          <w:sz w:val="20"/>
        </w:rPr>
        <w:tab/>
        <w:t>________________________________________________________________</w:t>
      </w:r>
    </w:p>
    <w:p w14:paraId="110857E3" w14:textId="77777777" w:rsidR="007F5ACB" w:rsidRDefault="007F5ACB">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08206A9F" w14:textId="77777777" w:rsidR="007F5ACB" w:rsidRDefault="007F5ACB">
      <w:pPr>
        <w:rPr>
          <w:sz w:val="20"/>
        </w:rPr>
      </w:pPr>
      <w:r>
        <w:rPr>
          <w:sz w:val="20"/>
        </w:rPr>
        <w:tab/>
      </w:r>
      <w:r>
        <w:rPr>
          <w:sz w:val="20"/>
        </w:rPr>
        <w:tab/>
      </w:r>
      <w:r>
        <w:rPr>
          <w:sz w:val="20"/>
        </w:rPr>
        <w:tab/>
      </w:r>
      <w:r>
        <w:rPr>
          <w:sz w:val="20"/>
        </w:rPr>
        <w:tab/>
      </w:r>
      <w:r>
        <w:rPr>
          <w:sz w:val="20"/>
        </w:rPr>
        <w:tab/>
        <w:t>________________________________________________________________</w:t>
      </w:r>
    </w:p>
    <w:p w14:paraId="5EA7105B" w14:textId="77777777" w:rsidR="007F5ACB" w:rsidRDefault="007F5ACB">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4A2B4E8C" w14:textId="77777777" w:rsidR="007F5ACB" w:rsidRDefault="007F5ACB">
      <w:pPr>
        <w:rPr>
          <w:sz w:val="20"/>
        </w:rPr>
      </w:pPr>
    </w:p>
    <w:p w14:paraId="7A712261" w14:textId="77777777" w:rsidR="007F5ACB" w:rsidRDefault="007F5ACB">
      <w:pPr>
        <w:rPr>
          <w:sz w:val="20"/>
        </w:rPr>
      </w:pPr>
      <w:r>
        <w:rPr>
          <w:sz w:val="20"/>
        </w:rPr>
        <w:t>Sub-Contractor:</w:t>
      </w:r>
      <w:r>
        <w:rPr>
          <w:sz w:val="20"/>
        </w:rPr>
        <w:tab/>
      </w:r>
      <w:r>
        <w:rPr>
          <w:sz w:val="20"/>
        </w:rPr>
        <w:tab/>
        <w:t>________________________________________________________________</w:t>
      </w:r>
    </w:p>
    <w:p w14:paraId="6140D50D" w14:textId="77777777" w:rsidR="007F5ACB" w:rsidRDefault="007F5ACB">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0F3A50A2" w14:textId="77777777" w:rsidR="007F5ACB" w:rsidRDefault="007F5ACB">
      <w:pPr>
        <w:rPr>
          <w:sz w:val="20"/>
        </w:rPr>
      </w:pPr>
      <w:r>
        <w:rPr>
          <w:sz w:val="20"/>
        </w:rPr>
        <w:tab/>
      </w:r>
      <w:r>
        <w:rPr>
          <w:sz w:val="20"/>
        </w:rPr>
        <w:tab/>
      </w:r>
      <w:r>
        <w:rPr>
          <w:sz w:val="20"/>
        </w:rPr>
        <w:tab/>
      </w:r>
      <w:r>
        <w:rPr>
          <w:sz w:val="20"/>
        </w:rPr>
        <w:tab/>
      </w:r>
      <w:r>
        <w:rPr>
          <w:sz w:val="20"/>
        </w:rPr>
        <w:tab/>
        <w:t>________________________________________________________________</w:t>
      </w:r>
    </w:p>
    <w:p w14:paraId="4B340276" w14:textId="77777777" w:rsidR="007F5ACB" w:rsidRDefault="007F5ACB">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254F37C5" w14:textId="77777777" w:rsidR="007F5ACB" w:rsidRDefault="007F5ACB">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6B1B3E4E" w14:textId="77777777" w:rsidR="007F5ACB" w:rsidRDefault="007F5ACB">
      <w:pPr>
        <w:pStyle w:val="Heading1"/>
        <w:rPr>
          <w:sz w:val="20"/>
        </w:rPr>
      </w:pPr>
      <w:r>
        <w:rPr>
          <w:sz w:val="20"/>
        </w:rPr>
        <w:t>Product Verification:</w:t>
      </w:r>
    </w:p>
    <w:p w14:paraId="0F3229F4" w14:textId="77777777" w:rsidR="007F5ACB" w:rsidRDefault="007F5ACB">
      <w:pPr>
        <w:pStyle w:val="TCH"/>
        <w:suppressAutoHyphens w:val="0"/>
        <w:rPr>
          <w:sz w:val="20"/>
        </w:rPr>
      </w:pPr>
    </w:p>
    <w:p w14:paraId="1280339C" w14:textId="77777777" w:rsidR="007F5ACB" w:rsidRDefault="007F5ACB">
      <w:pPr>
        <w:pStyle w:val="TCH"/>
        <w:suppressAutoHyphens w:val="0"/>
        <w:rPr>
          <w:b/>
          <w:sz w:val="20"/>
        </w:rPr>
      </w:pPr>
      <w:r>
        <w:rPr>
          <w:b/>
          <w:sz w:val="20"/>
        </w:rPr>
        <w:t xml:space="preserve">Switches and Circuit Breakers not supplied as part of the building electrical gear package installed in this store will meet the product guidelines of Section 16410 “Enclosed Switches and Circuit Breakers” </w:t>
      </w:r>
    </w:p>
    <w:p w14:paraId="5B48A377" w14:textId="77777777" w:rsidR="007F5ACB" w:rsidRDefault="007F5ACB">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0CB3E420" w14:textId="77777777" w:rsidR="007F5ACB" w:rsidRDefault="007F5ACB">
      <w:pPr>
        <w:rPr>
          <w:sz w:val="20"/>
          <w:u w:val="single"/>
        </w:rPr>
      </w:pPr>
      <w:r>
        <w:rPr>
          <w:sz w:val="20"/>
          <w:u w:val="single"/>
        </w:rPr>
        <w:t>General Contractor’s Affidavit:</w:t>
      </w:r>
    </w:p>
    <w:p w14:paraId="6C435592" w14:textId="77777777" w:rsidR="007F5ACB" w:rsidRDefault="007F5ACB">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Lowe’s specifications.  The work shall be completed immediately as directed by Lowe’s without additional cost to Lowe’s and/or the contract.</w:t>
      </w:r>
    </w:p>
    <w:p w14:paraId="6E36B9D9" w14:textId="77777777" w:rsidR="007F5ACB" w:rsidRDefault="007F5ACB">
      <w:pPr>
        <w:rPr>
          <w:sz w:val="20"/>
        </w:rPr>
      </w:pPr>
    </w:p>
    <w:p w14:paraId="4484A4C1" w14:textId="77777777" w:rsidR="007F5ACB" w:rsidRDefault="007F5ACB">
      <w:pPr>
        <w:rPr>
          <w:sz w:val="20"/>
        </w:rPr>
      </w:pPr>
      <w:r>
        <w:rPr>
          <w:sz w:val="20"/>
        </w:rPr>
        <w:t>General Contractor:</w:t>
      </w:r>
      <w:r>
        <w:rPr>
          <w:sz w:val="20"/>
        </w:rPr>
        <w:tab/>
        <w:t>________________________________________________________________</w:t>
      </w:r>
    </w:p>
    <w:p w14:paraId="2FB161BF" w14:textId="77777777" w:rsidR="007F5ACB" w:rsidRDefault="007F5ACB">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r>
        <w:rPr>
          <w:sz w:val="20"/>
        </w:rPr>
        <w:tab/>
      </w:r>
      <w:r>
        <w:rPr>
          <w:sz w:val="20"/>
        </w:rPr>
        <w:tab/>
      </w:r>
      <w:r>
        <w:rPr>
          <w:sz w:val="20"/>
        </w:rPr>
        <w:tab/>
        <w:t>(Date)</w:t>
      </w:r>
    </w:p>
    <w:p w14:paraId="42FFA9DD" w14:textId="77777777" w:rsidR="007F5ACB" w:rsidRDefault="007F5ACB">
      <w:pPr>
        <w:rPr>
          <w:i/>
          <w:sz w:val="20"/>
        </w:rPr>
      </w:pPr>
    </w:p>
    <w:p w14:paraId="65245614" w14:textId="77777777" w:rsidR="007F5ACB" w:rsidRDefault="007F5ACB">
      <w:pPr>
        <w:rPr>
          <w:sz w:val="20"/>
        </w:rPr>
      </w:pPr>
      <w:r>
        <w:rPr>
          <w:sz w:val="20"/>
        </w:rPr>
        <w:tab/>
      </w:r>
      <w:r>
        <w:rPr>
          <w:sz w:val="20"/>
        </w:rPr>
        <w:tab/>
      </w:r>
      <w:r>
        <w:rPr>
          <w:sz w:val="20"/>
        </w:rPr>
        <w:tab/>
      </w:r>
      <w:r>
        <w:rPr>
          <w:sz w:val="20"/>
        </w:rPr>
        <w:tab/>
      </w:r>
      <w:r>
        <w:rPr>
          <w:sz w:val="20"/>
        </w:rPr>
        <w:tab/>
        <w:t>________________________________________________________________</w:t>
      </w:r>
    </w:p>
    <w:p w14:paraId="3E073274" w14:textId="77777777" w:rsidR="007F5ACB" w:rsidRDefault="007F5ACB">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14:paraId="35276947" w14:textId="77777777" w:rsidR="007F5ACB" w:rsidRDefault="007F5ACB">
      <w:pPr>
        <w:rPr>
          <w:sz w:val="20"/>
          <w:u w:val="single"/>
        </w:rPr>
      </w:pPr>
    </w:p>
    <w:p w14:paraId="43FE9A2A" w14:textId="77777777" w:rsidR="007F5ACB" w:rsidRDefault="007F5ACB">
      <w:pPr>
        <w:rPr>
          <w:sz w:val="20"/>
          <w:u w:val="single"/>
        </w:rPr>
      </w:pPr>
      <w:r>
        <w:rPr>
          <w:sz w:val="20"/>
          <w:u w:val="single"/>
        </w:rPr>
        <w:t>Sub-Contractor’s Affidavit:</w:t>
      </w:r>
    </w:p>
    <w:p w14:paraId="196D2124" w14:textId="77777777" w:rsidR="007F5ACB" w:rsidRDefault="007F5ACB">
      <w:pPr>
        <w:pStyle w:val="BodyText"/>
      </w:pPr>
      <w:r>
        <w:t>I represent to Lowe’s that the product selected will be installed in compliance with the applicable codes for the authorities having jurisdiction and in accordance with the project specification.  If noncompliance is discovered the Sub-Contractor shall make or cause to be made all necessary corrections to meet the applicable codes and Lowe’s specifications.  The work shall be completed immediately as directed by Lowe’s and/or the General Contractor without additional cost to Lowe’s and/or the contract.</w:t>
      </w:r>
    </w:p>
    <w:p w14:paraId="0A9D1A6E" w14:textId="77777777" w:rsidR="007F5ACB" w:rsidRDefault="007F5ACB">
      <w:pPr>
        <w:rPr>
          <w:sz w:val="20"/>
        </w:rPr>
      </w:pPr>
    </w:p>
    <w:p w14:paraId="480B91DA" w14:textId="77777777" w:rsidR="007F5ACB" w:rsidRDefault="007F5ACB">
      <w:pPr>
        <w:rPr>
          <w:sz w:val="20"/>
        </w:rPr>
      </w:pPr>
      <w:r>
        <w:rPr>
          <w:sz w:val="20"/>
        </w:rPr>
        <w:t>Sub-Contractor:</w:t>
      </w:r>
      <w:r>
        <w:rPr>
          <w:sz w:val="20"/>
        </w:rPr>
        <w:tab/>
      </w:r>
      <w:r>
        <w:rPr>
          <w:sz w:val="20"/>
        </w:rPr>
        <w:tab/>
        <w:t>________________________________________________________________</w:t>
      </w:r>
    </w:p>
    <w:p w14:paraId="7EE73241" w14:textId="77777777" w:rsidR="007F5ACB" w:rsidRDefault="007F5ACB">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r>
        <w:rPr>
          <w:sz w:val="20"/>
        </w:rPr>
        <w:tab/>
      </w:r>
      <w:r>
        <w:rPr>
          <w:sz w:val="20"/>
        </w:rPr>
        <w:tab/>
      </w:r>
      <w:r>
        <w:rPr>
          <w:sz w:val="20"/>
        </w:rPr>
        <w:tab/>
      </w:r>
      <w:r>
        <w:rPr>
          <w:sz w:val="20"/>
        </w:rPr>
        <w:tab/>
        <w:t>(Date)</w:t>
      </w:r>
    </w:p>
    <w:p w14:paraId="067FF48F" w14:textId="77777777" w:rsidR="007F5ACB" w:rsidRDefault="007F5ACB">
      <w:pPr>
        <w:rPr>
          <w:i/>
          <w:sz w:val="20"/>
        </w:rPr>
      </w:pPr>
    </w:p>
    <w:p w14:paraId="75D5B8AF" w14:textId="77777777" w:rsidR="007F5ACB" w:rsidRDefault="007F5ACB">
      <w:pPr>
        <w:rPr>
          <w:sz w:val="20"/>
        </w:rPr>
      </w:pPr>
      <w:r>
        <w:rPr>
          <w:sz w:val="20"/>
        </w:rPr>
        <w:tab/>
      </w:r>
      <w:r>
        <w:rPr>
          <w:sz w:val="20"/>
        </w:rPr>
        <w:tab/>
      </w:r>
      <w:r>
        <w:rPr>
          <w:sz w:val="20"/>
        </w:rPr>
        <w:tab/>
      </w:r>
      <w:r>
        <w:rPr>
          <w:sz w:val="20"/>
        </w:rPr>
        <w:tab/>
      </w:r>
      <w:r>
        <w:rPr>
          <w:sz w:val="20"/>
        </w:rPr>
        <w:tab/>
        <w:t>________________________________________________________________</w:t>
      </w:r>
      <w:r>
        <w:rPr>
          <w:sz w:val="20"/>
        </w:rPr>
        <w:tab/>
      </w:r>
      <w:r>
        <w:rPr>
          <w:sz w:val="20"/>
        </w:rPr>
        <w:tab/>
      </w:r>
      <w:r>
        <w:rPr>
          <w:sz w:val="20"/>
        </w:rPr>
        <w:tab/>
      </w:r>
      <w:r>
        <w:rPr>
          <w:sz w:val="20"/>
        </w:rPr>
        <w:tab/>
      </w:r>
      <w:r>
        <w:rPr>
          <w:sz w:val="20"/>
        </w:rPr>
        <w:tab/>
      </w:r>
      <w:r>
        <w:rPr>
          <w:sz w:val="20"/>
        </w:rPr>
        <w:tab/>
        <w:t xml:space="preserve">               </w:t>
      </w:r>
      <w:r>
        <w:rPr>
          <w:sz w:val="20"/>
        </w:rPr>
        <w:tab/>
        <w:t>(</w:t>
      </w:r>
      <w:r>
        <w:rPr>
          <w:i/>
          <w:sz w:val="20"/>
        </w:rPr>
        <w:t>Print Name of the Authorized Agent of the Sub-Contractor</w:t>
      </w:r>
      <w:r>
        <w:rPr>
          <w:sz w:val="20"/>
        </w:rPr>
        <w:t>)</w:t>
      </w:r>
    </w:p>
    <w:p w14:paraId="231B0E42" w14:textId="77777777" w:rsidR="007F5ACB" w:rsidRDefault="007F5ACB">
      <w:pPr>
        <w:pStyle w:val="EOS"/>
        <w:spacing w:before="0"/>
        <w:ind w:firstLine="360"/>
        <w:jc w:val="center"/>
        <w:rPr>
          <w:sz w:val="20"/>
        </w:rPr>
      </w:pPr>
      <w:r>
        <w:rPr>
          <w:sz w:val="20"/>
        </w:rPr>
        <w:br w:type="page"/>
      </w:r>
    </w:p>
    <w:p w14:paraId="5FFEB70B" w14:textId="77777777" w:rsidR="007F5ACB" w:rsidRDefault="007F5ACB">
      <w:pPr>
        <w:pStyle w:val="EOS"/>
        <w:spacing w:before="0"/>
        <w:ind w:firstLine="360"/>
        <w:jc w:val="center"/>
        <w:rPr>
          <w:sz w:val="20"/>
        </w:rPr>
      </w:pPr>
    </w:p>
    <w:p w14:paraId="49C0FC42" w14:textId="77777777" w:rsidR="007F5ACB" w:rsidRDefault="007F5ACB">
      <w:pPr>
        <w:pStyle w:val="EOS"/>
        <w:spacing w:before="0"/>
        <w:ind w:firstLine="360"/>
        <w:jc w:val="center"/>
        <w:rPr>
          <w:sz w:val="20"/>
        </w:rPr>
      </w:pPr>
    </w:p>
    <w:p w14:paraId="0B9A52F6" w14:textId="77777777" w:rsidR="007F5ACB" w:rsidRDefault="007F5ACB">
      <w:pPr>
        <w:pStyle w:val="EOS"/>
        <w:spacing w:before="0"/>
        <w:ind w:firstLine="360"/>
        <w:jc w:val="center"/>
        <w:rPr>
          <w:color w:val="808080"/>
          <w:sz w:val="20"/>
        </w:rPr>
      </w:pPr>
      <w:r>
        <w:rPr>
          <w:color w:val="808080"/>
          <w:sz w:val="20"/>
        </w:rPr>
        <w:t>This Page Left Intentionally Blank</w:t>
      </w:r>
    </w:p>
    <w:p w14:paraId="3A6D58D2" w14:textId="77777777" w:rsidR="007F5ACB" w:rsidRDefault="007F5ACB">
      <w:pPr>
        <w:rPr>
          <w:sz w:val="20"/>
        </w:rPr>
      </w:pPr>
    </w:p>
    <w:p w14:paraId="0FF545A3" w14:textId="77777777" w:rsidR="007F5ACB" w:rsidRDefault="007F5ACB">
      <w:pPr>
        <w:pStyle w:val="EOS"/>
        <w:spacing w:before="0"/>
        <w:rPr>
          <w:sz w:val="20"/>
        </w:rPr>
      </w:pPr>
    </w:p>
    <w:sectPr w:rsidR="007F5ACB" w:rsidSect="005220E3">
      <w:footnotePr>
        <w:numRestart w:val="eachSect"/>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A0C33" w14:textId="77777777" w:rsidR="00AE6D2C" w:rsidRDefault="00AE6D2C">
      <w:r>
        <w:separator/>
      </w:r>
    </w:p>
  </w:endnote>
  <w:endnote w:type="continuationSeparator" w:id="0">
    <w:p w14:paraId="7C8D5F4E" w14:textId="77777777" w:rsidR="00AE6D2C" w:rsidRDefault="00AE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7A49" w14:textId="77777777" w:rsidR="00835534" w:rsidRDefault="00835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8DA1" w14:textId="77777777" w:rsidR="007F5ACB" w:rsidRDefault="007F5ACB">
    <w:pPr>
      <w:pStyle w:val="FTR"/>
      <w:tabs>
        <w:tab w:val="center" w:pos="4680"/>
      </w:tabs>
      <w:rPr>
        <w:b/>
        <w:sz w:val="20"/>
      </w:rPr>
    </w:pPr>
    <w:r>
      <w:rPr>
        <w:b/>
        <w:sz w:val="20"/>
      </w:rPr>
      <w:t>ENCLOSED SWITCHES AND CIRCUIT BREAKERS</w:t>
    </w:r>
    <w:r>
      <w:rPr>
        <w:b/>
        <w:sz w:val="20"/>
      </w:rPr>
      <w:tab/>
      <w:t>16410-</w:t>
    </w:r>
    <w:r w:rsidR="00324371">
      <w:rPr>
        <w:b/>
        <w:sz w:val="20"/>
      </w:rPr>
      <w:fldChar w:fldCharType="begin"/>
    </w:r>
    <w:r>
      <w:rPr>
        <w:b/>
        <w:sz w:val="20"/>
      </w:rPr>
      <w:instrText xml:space="preserve"> PAGE  \* MERGEFORMAT </w:instrText>
    </w:r>
    <w:r w:rsidR="00324371">
      <w:rPr>
        <w:b/>
        <w:sz w:val="20"/>
      </w:rPr>
      <w:fldChar w:fldCharType="separate"/>
    </w:r>
    <w:r w:rsidR="00203CCD">
      <w:rPr>
        <w:b/>
        <w:noProof/>
        <w:sz w:val="20"/>
      </w:rPr>
      <w:t>1</w:t>
    </w:r>
    <w:r w:rsidR="00324371">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C4EF" w14:textId="77777777" w:rsidR="00835534" w:rsidRDefault="00835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44C59" w14:textId="77777777" w:rsidR="00AE6D2C" w:rsidRDefault="00AE6D2C">
      <w:r>
        <w:separator/>
      </w:r>
    </w:p>
  </w:footnote>
  <w:footnote w:type="continuationSeparator" w:id="0">
    <w:p w14:paraId="3756A080" w14:textId="77777777" w:rsidR="00AE6D2C" w:rsidRDefault="00AE6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810E" w14:textId="77777777" w:rsidR="00835534" w:rsidRDefault="00835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2928" w14:textId="6D43369B" w:rsidR="007F5ACB" w:rsidRDefault="007F5ACB">
    <w:pPr>
      <w:pStyle w:val="HDR"/>
      <w:rPr>
        <w:b/>
        <w:sz w:val="20"/>
      </w:rPr>
    </w:pPr>
    <w:r>
      <w:rPr>
        <w:b/>
        <w:sz w:val="20"/>
      </w:rPr>
      <w:t xml:space="preserve">LOWE'S OF </w:t>
    </w:r>
    <w:r w:rsidR="00835534" w:rsidRPr="00835534">
      <w:rPr>
        <w:b/>
        <w:sz w:val="20"/>
      </w:rPr>
      <w:t>WESTIELD, FL.</w:t>
    </w:r>
    <w:r>
      <w:rPr>
        <w:b/>
        <w:sz w:val="20"/>
      </w:rPr>
      <w:tab/>
    </w:r>
    <w:r>
      <w:rPr>
        <w:b/>
        <w:sz w:val="20"/>
      </w:rPr>
      <w:tab/>
    </w:r>
    <w:r w:rsidR="00203CCD">
      <w:rPr>
        <w:b/>
        <w:sz w:val="20"/>
      </w:rPr>
      <w:t>06</w:t>
    </w:r>
    <w:r w:rsidR="008F7C0D">
      <w:rPr>
        <w:b/>
        <w:sz w:val="20"/>
      </w:rPr>
      <w:t>/2012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89F1" w14:textId="77777777" w:rsidR="00835534" w:rsidRDefault="00835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D50B06A"/>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672220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671652"/>
    <w:rsid w:val="000331D4"/>
    <w:rsid w:val="00050D57"/>
    <w:rsid w:val="00054581"/>
    <w:rsid w:val="000661FA"/>
    <w:rsid w:val="00074E08"/>
    <w:rsid w:val="000E40D0"/>
    <w:rsid w:val="000F1F95"/>
    <w:rsid w:val="001038F5"/>
    <w:rsid w:val="00172FE5"/>
    <w:rsid w:val="00191E9F"/>
    <w:rsid w:val="00203CCD"/>
    <w:rsid w:val="00282978"/>
    <w:rsid w:val="002A7F41"/>
    <w:rsid w:val="002B3548"/>
    <w:rsid w:val="002B56F6"/>
    <w:rsid w:val="0032284C"/>
    <w:rsid w:val="00324371"/>
    <w:rsid w:val="003303F9"/>
    <w:rsid w:val="00351E7A"/>
    <w:rsid w:val="003817C6"/>
    <w:rsid w:val="0039545A"/>
    <w:rsid w:val="003B3824"/>
    <w:rsid w:val="00415F7C"/>
    <w:rsid w:val="00453281"/>
    <w:rsid w:val="004B24E1"/>
    <w:rsid w:val="005220E3"/>
    <w:rsid w:val="0057220E"/>
    <w:rsid w:val="005B58C8"/>
    <w:rsid w:val="005C6454"/>
    <w:rsid w:val="005D5A94"/>
    <w:rsid w:val="00671652"/>
    <w:rsid w:val="006724EC"/>
    <w:rsid w:val="006C5052"/>
    <w:rsid w:val="006F1ADB"/>
    <w:rsid w:val="006F392D"/>
    <w:rsid w:val="00715B11"/>
    <w:rsid w:val="00720248"/>
    <w:rsid w:val="00724488"/>
    <w:rsid w:val="00725338"/>
    <w:rsid w:val="007339ED"/>
    <w:rsid w:val="00752720"/>
    <w:rsid w:val="00781906"/>
    <w:rsid w:val="007F5ACB"/>
    <w:rsid w:val="0080037E"/>
    <w:rsid w:val="008068E4"/>
    <w:rsid w:val="00821620"/>
    <w:rsid w:val="00835534"/>
    <w:rsid w:val="0085209F"/>
    <w:rsid w:val="0088596C"/>
    <w:rsid w:val="008F7C0D"/>
    <w:rsid w:val="0090159A"/>
    <w:rsid w:val="009609F1"/>
    <w:rsid w:val="009E49C3"/>
    <w:rsid w:val="00A0287D"/>
    <w:rsid w:val="00A0754B"/>
    <w:rsid w:val="00A24ABE"/>
    <w:rsid w:val="00A24C95"/>
    <w:rsid w:val="00A613F4"/>
    <w:rsid w:val="00A72416"/>
    <w:rsid w:val="00AA2AC0"/>
    <w:rsid w:val="00AB1C48"/>
    <w:rsid w:val="00AE6D2C"/>
    <w:rsid w:val="00B06DA1"/>
    <w:rsid w:val="00B20443"/>
    <w:rsid w:val="00B46726"/>
    <w:rsid w:val="00B51CFF"/>
    <w:rsid w:val="00BD7845"/>
    <w:rsid w:val="00BE22EB"/>
    <w:rsid w:val="00C139B6"/>
    <w:rsid w:val="00C25C8F"/>
    <w:rsid w:val="00C46C8D"/>
    <w:rsid w:val="00CF1539"/>
    <w:rsid w:val="00D05BF5"/>
    <w:rsid w:val="00D46CBF"/>
    <w:rsid w:val="00D51D47"/>
    <w:rsid w:val="00D71CB6"/>
    <w:rsid w:val="00D72446"/>
    <w:rsid w:val="00D80F80"/>
    <w:rsid w:val="00D9130B"/>
    <w:rsid w:val="00DA1049"/>
    <w:rsid w:val="00DA685F"/>
    <w:rsid w:val="00DC5AE6"/>
    <w:rsid w:val="00DD5B40"/>
    <w:rsid w:val="00DD67DE"/>
    <w:rsid w:val="00E23B63"/>
    <w:rsid w:val="00E51CFF"/>
    <w:rsid w:val="00E573C8"/>
    <w:rsid w:val="00E6144A"/>
    <w:rsid w:val="00E81F4E"/>
    <w:rsid w:val="00E8288F"/>
    <w:rsid w:val="00E85EF4"/>
    <w:rsid w:val="00EF461E"/>
    <w:rsid w:val="00F04C9A"/>
    <w:rsid w:val="00F5792A"/>
    <w:rsid w:val="00F91708"/>
    <w:rsid w:val="00FD0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0258"/>
  <w15:docId w15:val="{E51A45AD-BE67-4E15-9B24-84A1BD1E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0E3"/>
    <w:rPr>
      <w:sz w:val="22"/>
    </w:rPr>
  </w:style>
  <w:style w:type="paragraph" w:styleId="Heading1">
    <w:name w:val="heading 1"/>
    <w:basedOn w:val="Normal"/>
    <w:next w:val="Normal"/>
    <w:qFormat/>
    <w:rsid w:val="005220E3"/>
    <w:pPr>
      <w:keepNext/>
      <w:outlineLvl w:val="0"/>
    </w:pPr>
    <w:rPr>
      <w:rFonts w:eastAsia="Arial Unicode M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5220E3"/>
    <w:pPr>
      <w:tabs>
        <w:tab w:val="center" w:pos="4608"/>
        <w:tab w:val="right" w:pos="9360"/>
      </w:tabs>
      <w:suppressAutoHyphens/>
      <w:jc w:val="both"/>
    </w:pPr>
  </w:style>
  <w:style w:type="paragraph" w:customStyle="1" w:styleId="FTR">
    <w:name w:val="FTR"/>
    <w:basedOn w:val="Normal"/>
    <w:next w:val="SCT"/>
    <w:rsid w:val="005220E3"/>
    <w:pPr>
      <w:tabs>
        <w:tab w:val="right" w:pos="9360"/>
      </w:tabs>
      <w:suppressAutoHyphens/>
      <w:jc w:val="both"/>
    </w:pPr>
  </w:style>
  <w:style w:type="paragraph" w:customStyle="1" w:styleId="SCT">
    <w:name w:val="SCT"/>
    <w:basedOn w:val="Normal"/>
    <w:next w:val="PRT"/>
    <w:rsid w:val="005220E3"/>
    <w:pPr>
      <w:suppressAutoHyphens/>
      <w:spacing w:before="240"/>
      <w:jc w:val="both"/>
    </w:pPr>
  </w:style>
  <w:style w:type="paragraph" w:customStyle="1" w:styleId="PRT">
    <w:name w:val="PRT"/>
    <w:basedOn w:val="Normal"/>
    <w:next w:val="ART"/>
    <w:rsid w:val="005220E3"/>
    <w:pPr>
      <w:numPr>
        <w:numId w:val="1"/>
      </w:numPr>
      <w:suppressAutoHyphens/>
      <w:spacing w:before="240"/>
      <w:jc w:val="both"/>
      <w:outlineLvl w:val="0"/>
    </w:pPr>
  </w:style>
  <w:style w:type="paragraph" w:customStyle="1" w:styleId="SUT">
    <w:name w:val="SUT"/>
    <w:basedOn w:val="Normal"/>
    <w:next w:val="PR1"/>
    <w:rsid w:val="005220E3"/>
    <w:pPr>
      <w:numPr>
        <w:ilvl w:val="1"/>
        <w:numId w:val="1"/>
      </w:numPr>
      <w:suppressAutoHyphens/>
      <w:spacing w:before="240"/>
      <w:jc w:val="both"/>
      <w:outlineLvl w:val="0"/>
    </w:pPr>
  </w:style>
  <w:style w:type="paragraph" w:customStyle="1" w:styleId="DST">
    <w:name w:val="DST"/>
    <w:basedOn w:val="Normal"/>
    <w:next w:val="PR1"/>
    <w:rsid w:val="005220E3"/>
    <w:pPr>
      <w:numPr>
        <w:ilvl w:val="2"/>
        <w:numId w:val="1"/>
      </w:numPr>
      <w:suppressAutoHyphens/>
      <w:spacing w:before="240"/>
      <w:jc w:val="both"/>
      <w:outlineLvl w:val="0"/>
    </w:pPr>
  </w:style>
  <w:style w:type="paragraph" w:customStyle="1" w:styleId="ART">
    <w:name w:val="ART"/>
    <w:basedOn w:val="Normal"/>
    <w:next w:val="PR1"/>
    <w:rsid w:val="005220E3"/>
    <w:pPr>
      <w:numPr>
        <w:ilvl w:val="3"/>
        <w:numId w:val="1"/>
      </w:numPr>
      <w:suppressAutoHyphens/>
      <w:spacing w:before="240"/>
      <w:jc w:val="both"/>
      <w:outlineLvl w:val="1"/>
    </w:pPr>
  </w:style>
  <w:style w:type="paragraph" w:customStyle="1" w:styleId="PR1">
    <w:name w:val="PR1"/>
    <w:basedOn w:val="Normal"/>
    <w:rsid w:val="005220E3"/>
    <w:pPr>
      <w:numPr>
        <w:ilvl w:val="4"/>
        <w:numId w:val="1"/>
      </w:numPr>
      <w:suppressAutoHyphens/>
      <w:spacing w:before="240"/>
      <w:jc w:val="both"/>
      <w:outlineLvl w:val="2"/>
    </w:pPr>
  </w:style>
  <w:style w:type="paragraph" w:customStyle="1" w:styleId="PR2">
    <w:name w:val="PR2"/>
    <w:basedOn w:val="Normal"/>
    <w:rsid w:val="005220E3"/>
    <w:pPr>
      <w:numPr>
        <w:ilvl w:val="5"/>
        <w:numId w:val="1"/>
      </w:numPr>
      <w:suppressAutoHyphens/>
      <w:jc w:val="both"/>
      <w:outlineLvl w:val="3"/>
    </w:pPr>
  </w:style>
  <w:style w:type="paragraph" w:customStyle="1" w:styleId="PR3">
    <w:name w:val="PR3"/>
    <w:basedOn w:val="Normal"/>
    <w:rsid w:val="005220E3"/>
    <w:pPr>
      <w:numPr>
        <w:ilvl w:val="6"/>
        <w:numId w:val="1"/>
      </w:numPr>
      <w:suppressAutoHyphens/>
      <w:jc w:val="both"/>
      <w:outlineLvl w:val="4"/>
    </w:pPr>
  </w:style>
  <w:style w:type="paragraph" w:customStyle="1" w:styleId="PR4">
    <w:name w:val="PR4"/>
    <w:basedOn w:val="Normal"/>
    <w:rsid w:val="005220E3"/>
    <w:pPr>
      <w:numPr>
        <w:ilvl w:val="7"/>
        <w:numId w:val="1"/>
      </w:numPr>
      <w:suppressAutoHyphens/>
      <w:jc w:val="both"/>
      <w:outlineLvl w:val="5"/>
    </w:pPr>
  </w:style>
  <w:style w:type="paragraph" w:customStyle="1" w:styleId="PR5">
    <w:name w:val="PR5"/>
    <w:basedOn w:val="Normal"/>
    <w:rsid w:val="005220E3"/>
    <w:pPr>
      <w:numPr>
        <w:ilvl w:val="8"/>
        <w:numId w:val="1"/>
      </w:numPr>
      <w:suppressAutoHyphens/>
      <w:jc w:val="both"/>
      <w:outlineLvl w:val="6"/>
    </w:pPr>
  </w:style>
  <w:style w:type="paragraph" w:customStyle="1" w:styleId="TB1">
    <w:name w:val="TB1"/>
    <w:basedOn w:val="Normal"/>
    <w:next w:val="PR1"/>
    <w:rsid w:val="005220E3"/>
    <w:pPr>
      <w:suppressAutoHyphens/>
      <w:spacing w:before="240"/>
      <w:ind w:left="288"/>
      <w:jc w:val="both"/>
    </w:pPr>
  </w:style>
  <w:style w:type="paragraph" w:customStyle="1" w:styleId="TB2">
    <w:name w:val="TB2"/>
    <w:basedOn w:val="Normal"/>
    <w:next w:val="PR2"/>
    <w:rsid w:val="005220E3"/>
    <w:pPr>
      <w:suppressAutoHyphens/>
      <w:spacing w:before="240"/>
      <w:ind w:left="864"/>
      <w:jc w:val="both"/>
    </w:pPr>
  </w:style>
  <w:style w:type="paragraph" w:customStyle="1" w:styleId="TB3">
    <w:name w:val="TB3"/>
    <w:basedOn w:val="Normal"/>
    <w:next w:val="PR3"/>
    <w:rsid w:val="005220E3"/>
    <w:pPr>
      <w:suppressAutoHyphens/>
      <w:spacing w:before="240"/>
      <w:ind w:left="1440"/>
      <w:jc w:val="both"/>
    </w:pPr>
  </w:style>
  <w:style w:type="paragraph" w:customStyle="1" w:styleId="TB4">
    <w:name w:val="TB4"/>
    <w:basedOn w:val="Normal"/>
    <w:next w:val="PR4"/>
    <w:rsid w:val="005220E3"/>
    <w:pPr>
      <w:suppressAutoHyphens/>
      <w:spacing w:before="240"/>
      <w:ind w:left="2016"/>
      <w:jc w:val="both"/>
    </w:pPr>
  </w:style>
  <w:style w:type="paragraph" w:customStyle="1" w:styleId="TB5">
    <w:name w:val="TB5"/>
    <w:basedOn w:val="Normal"/>
    <w:next w:val="PR5"/>
    <w:rsid w:val="005220E3"/>
    <w:pPr>
      <w:suppressAutoHyphens/>
      <w:spacing w:before="240"/>
      <w:ind w:left="2592"/>
      <w:jc w:val="both"/>
    </w:pPr>
  </w:style>
  <w:style w:type="paragraph" w:customStyle="1" w:styleId="TCH">
    <w:name w:val="TCH"/>
    <w:basedOn w:val="Normal"/>
    <w:rsid w:val="005220E3"/>
    <w:pPr>
      <w:suppressAutoHyphens/>
    </w:pPr>
  </w:style>
  <w:style w:type="paragraph" w:customStyle="1" w:styleId="TCE">
    <w:name w:val="TCE"/>
    <w:basedOn w:val="Normal"/>
    <w:rsid w:val="005220E3"/>
    <w:pPr>
      <w:suppressAutoHyphens/>
      <w:ind w:left="144" w:hanging="144"/>
    </w:pPr>
  </w:style>
  <w:style w:type="paragraph" w:customStyle="1" w:styleId="EOS">
    <w:name w:val="EOS"/>
    <w:basedOn w:val="Normal"/>
    <w:rsid w:val="005220E3"/>
    <w:pPr>
      <w:suppressAutoHyphens/>
      <w:spacing w:before="240"/>
      <w:jc w:val="both"/>
    </w:pPr>
  </w:style>
  <w:style w:type="paragraph" w:customStyle="1" w:styleId="CMT">
    <w:name w:val="CMT"/>
    <w:basedOn w:val="Normal"/>
    <w:rsid w:val="005220E3"/>
    <w:pPr>
      <w:suppressAutoHyphens/>
      <w:spacing w:before="240"/>
      <w:jc w:val="both"/>
    </w:pPr>
    <w:rPr>
      <w:vanish/>
      <w:color w:val="0000FF"/>
    </w:rPr>
  </w:style>
  <w:style w:type="character" w:customStyle="1" w:styleId="SI">
    <w:name w:val="SI"/>
    <w:basedOn w:val="DefaultParagraphFont"/>
    <w:rsid w:val="005220E3"/>
    <w:rPr>
      <w:color w:val="auto"/>
    </w:rPr>
  </w:style>
  <w:style w:type="character" w:customStyle="1" w:styleId="IP">
    <w:name w:val="IP"/>
    <w:basedOn w:val="DefaultParagraphFont"/>
    <w:rsid w:val="005220E3"/>
    <w:rPr>
      <w:color w:val="000000"/>
    </w:rPr>
  </w:style>
  <w:style w:type="paragraph" w:styleId="Header">
    <w:name w:val="header"/>
    <w:basedOn w:val="Normal"/>
    <w:rsid w:val="005220E3"/>
    <w:pPr>
      <w:tabs>
        <w:tab w:val="center" w:pos="4320"/>
        <w:tab w:val="right" w:pos="8640"/>
      </w:tabs>
    </w:pPr>
  </w:style>
  <w:style w:type="paragraph" w:styleId="Footer">
    <w:name w:val="footer"/>
    <w:basedOn w:val="Normal"/>
    <w:rsid w:val="005220E3"/>
    <w:pPr>
      <w:tabs>
        <w:tab w:val="center" w:pos="4320"/>
        <w:tab w:val="right" w:pos="8640"/>
      </w:tabs>
    </w:pPr>
  </w:style>
  <w:style w:type="paragraph" w:styleId="Title">
    <w:name w:val="Title"/>
    <w:basedOn w:val="Normal"/>
    <w:qFormat/>
    <w:rsid w:val="005220E3"/>
    <w:pPr>
      <w:jc w:val="center"/>
    </w:pPr>
    <w:rPr>
      <w:b/>
      <w:sz w:val="24"/>
      <w:u w:val="single"/>
    </w:rPr>
  </w:style>
  <w:style w:type="paragraph" w:styleId="BodyText">
    <w:name w:val="Body Text"/>
    <w:basedOn w:val="Normal"/>
    <w:rsid w:val="005220E3"/>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1D7CBC0B-0413-4DE3-81BC-CDBE040487FF}"/>
</file>

<file path=customXml/itemProps2.xml><?xml version="1.0" encoding="utf-8"?>
<ds:datastoreItem xmlns:ds="http://schemas.openxmlformats.org/officeDocument/2006/customXml" ds:itemID="{F7BD25D6-97D7-412E-B775-0E7CD5E75BAD}"/>
</file>

<file path=customXml/itemProps3.xml><?xml version="1.0" encoding="utf-8"?>
<ds:datastoreItem xmlns:ds="http://schemas.openxmlformats.org/officeDocument/2006/customXml" ds:itemID="{EF7EE9D0-42EC-499A-B92F-D295936FAA77}"/>
</file>

<file path=docProps/app.xml><?xml version="1.0" encoding="utf-8"?>
<Properties xmlns="http://schemas.openxmlformats.org/officeDocument/2006/extended-properties" xmlns:vt="http://schemas.openxmlformats.org/officeDocument/2006/docPropsVTypes">
  <Template>Normal</Template>
  <TotalTime>7</TotalTime>
  <Pages>5</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16410 - ENCLOSED SWITCHES AND CIRCUIT BREAKERS</vt:lpstr>
    </vt:vector>
  </TitlesOfParts>
  <Company>ARCOM, Inc.</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16410 - ENCLOSED SWITCHES AND CIRCUIT BREAKERS</dc:title>
  <dc:subject>ENCLOSED SWITCHES AND CIRCUIT BREAKERS</dc:subject>
  <dc:creator>ARCOM, Inc.</dc:creator>
  <cp:keywords>BAS-12345-MS80</cp:keywords>
  <cp:lastModifiedBy>Jimmy Myers</cp:lastModifiedBy>
  <cp:revision>14</cp:revision>
  <dcterms:created xsi:type="dcterms:W3CDTF">2009-09-28T18:19:00Z</dcterms:created>
  <dcterms:modified xsi:type="dcterms:W3CDTF">2025-04-14T14:39:00Z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