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3C66" w14:textId="77777777" w:rsidR="00D0103B" w:rsidRDefault="00D0103B">
      <w:pPr>
        <w:pStyle w:val="CMT"/>
        <w:spacing w:before="0"/>
        <w:rPr>
          <w:b/>
          <w:sz w:val="20"/>
        </w:rPr>
      </w:pPr>
      <w:r>
        <w:rPr>
          <w:b/>
          <w:sz w:val="20"/>
        </w:rPr>
        <w:t>MASTERSPEC Short Form Copyright 1999, The American Institute of Architects (AIA)</w:t>
      </w:r>
    </w:p>
    <w:p w14:paraId="2F441735" w14:textId="77777777" w:rsidR="00D0103B" w:rsidRDefault="00D0103B">
      <w:pPr>
        <w:pStyle w:val="SCT"/>
        <w:spacing w:before="0"/>
        <w:rPr>
          <w:b/>
          <w:sz w:val="20"/>
        </w:rPr>
      </w:pPr>
      <w:r>
        <w:rPr>
          <w:b/>
          <w:sz w:val="20"/>
        </w:rPr>
        <w:t>SECTION 15415 - DRINKING FOUNTAINS AND WATER COOLERS</w:t>
      </w:r>
    </w:p>
    <w:p w14:paraId="623B135C" w14:textId="77777777" w:rsidR="00D0103B" w:rsidRDefault="00D0103B">
      <w:pPr>
        <w:pStyle w:val="CMT"/>
        <w:spacing w:before="0"/>
        <w:rPr>
          <w:sz w:val="20"/>
        </w:rPr>
      </w:pPr>
      <w:r>
        <w:rPr>
          <w:sz w:val="20"/>
        </w:rPr>
        <w:t>Edit Section title to either "Drinking Fountains" or "Water Coolers" if only one of these two types of fixtures is specified in this Section.</w:t>
      </w:r>
    </w:p>
    <w:p w14:paraId="0F6298BA" w14:textId="77777777" w:rsidR="00D0103B" w:rsidRDefault="00D0103B">
      <w:pPr>
        <w:pStyle w:val="PRT"/>
        <w:rPr>
          <w:sz w:val="20"/>
        </w:rPr>
      </w:pPr>
      <w:r>
        <w:rPr>
          <w:sz w:val="20"/>
        </w:rPr>
        <w:t>GENERAL</w:t>
      </w:r>
    </w:p>
    <w:p w14:paraId="5489C50D" w14:textId="77777777" w:rsidR="00D0103B" w:rsidRDefault="00D0103B">
      <w:pPr>
        <w:pStyle w:val="ART"/>
        <w:tabs>
          <w:tab w:val="clear" w:pos="864"/>
          <w:tab w:val="num" w:pos="720"/>
        </w:tabs>
        <w:ind w:left="720" w:hanging="720"/>
        <w:rPr>
          <w:sz w:val="20"/>
        </w:rPr>
      </w:pPr>
      <w:r>
        <w:rPr>
          <w:sz w:val="20"/>
        </w:rPr>
        <w:t>SUMMARY</w:t>
      </w:r>
    </w:p>
    <w:p w14:paraId="44596761" w14:textId="77777777" w:rsidR="00D0103B" w:rsidRDefault="00D0103B">
      <w:pPr>
        <w:pStyle w:val="PR1"/>
        <w:tabs>
          <w:tab w:val="clear" w:pos="864"/>
        </w:tabs>
        <w:spacing w:before="0"/>
        <w:ind w:left="720" w:hanging="540"/>
        <w:rPr>
          <w:sz w:val="20"/>
        </w:rPr>
      </w:pPr>
      <w:r>
        <w:rPr>
          <w:sz w:val="20"/>
        </w:rPr>
        <w:t>This Section includes the following:</w:t>
      </w:r>
    </w:p>
    <w:p w14:paraId="34DFBE0B" w14:textId="77777777" w:rsidR="00D0103B" w:rsidRDefault="00D0103B">
      <w:pPr>
        <w:pStyle w:val="CMT"/>
        <w:spacing w:before="0"/>
        <w:ind w:left="1080" w:hanging="360"/>
        <w:rPr>
          <w:sz w:val="20"/>
        </w:rPr>
      </w:pPr>
      <w:r>
        <w:rPr>
          <w:sz w:val="20"/>
        </w:rPr>
        <w:t>Adjust list below to suit Project.</w:t>
      </w:r>
    </w:p>
    <w:p w14:paraId="068A829E" w14:textId="77777777" w:rsidR="00D0103B" w:rsidRDefault="00D0103B">
      <w:pPr>
        <w:pStyle w:val="PR2"/>
        <w:tabs>
          <w:tab w:val="clear" w:pos="1440"/>
        </w:tabs>
        <w:ind w:left="1080" w:hanging="360"/>
        <w:rPr>
          <w:sz w:val="20"/>
        </w:rPr>
      </w:pPr>
      <w:r>
        <w:rPr>
          <w:sz w:val="20"/>
        </w:rPr>
        <w:t>Drinking fountains.</w:t>
      </w:r>
    </w:p>
    <w:p w14:paraId="0AC199FB" w14:textId="77777777" w:rsidR="00D0103B" w:rsidRDefault="00D0103B">
      <w:pPr>
        <w:pStyle w:val="PR2"/>
        <w:tabs>
          <w:tab w:val="clear" w:pos="1440"/>
        </w:tabs>
        <w:ind w:left="1080" w:hanging="360"/>
        <w:rPr>
          <w:sz w:val="20"/>
        </w:rPr>
      </w:pPr>
      <w:r>
        <w:rPr>
          <w:sz w:val="20"/>
        </w:rPr>
        <w:t>Pressure water coolers.</w:t>
      </w:r>
    </w:p>
    <w:p w14:paraId="403CD699" w14:textId="77777777" w:rsidR="00D0103B" w:rsidRDefault="00D0103B">
      <w:pPr>
        <w:pStyle w:val="PR2"/>
        <w:tabs>
          <w:tab w:val="clear" w:pos="1440"/>
        </w:tabs>
        <w:ind w:left="1080" w:hanging="360"/>
        <w:rPr>
          <w:sz w:val="20"/>
        </w:rPr>
      </w:pPr>
      <w:r>
        <w:rPr>
          <w:sz w:val="20"/>
        </w:rPr>
        <w:t>Fixture supports.</w:t>
      </w:r>
    </w:p>
    <w:p w14:paraId="7901900F" w14:textId="77777777" w:rsidR="00D0103B" w:rsidRDefault="00D0103B">
      <w:pPr>
        <w:pStyle w:val="ART"/>
        <w:tabs>
          <w:tab w:val="clear" w:pos="864"/>
          <w:tab w:val="num" w:pos="720"/>
        </w:tabs>
        <w:ind w:left="720" w:hanging="720"/>
        <w:rPr>
          <w:sz w:val="20"/>
        </w:rPr>
      </w:pPr>
      <w:r>
        <w:rPr>
          <w:sz w:val="20"/>
        </w:rPr>
        <w:t>SUBMITTALS</w:t>
      </w:r>
    </w:p>
    <w:p w14:paraId="4C007F8B" w14:textId="77777777" w:rsidR="00D0103B" w:rsidRDefault="00D0103B">
      <w:pPr>
        <w:pStyle w:val="PR1"/>
        <w:tabs>
          <w:tab w:val="clear" w:pos="864"/>
        </w:tabs>
        <w:spacing w:before="0"/>
        <w:ind w:left="720" w:hanging="540"/>
        <w:rPr>
          <w:sz w:val="20"/>
        </w:rPr>
      </w:pPr>
      <w:r>
        <w:rPr>
          <w:sz w:val="20"/>
        </w:rPr>
        <w:t>Operation and maintenance data.</w:t>
      </w:r>
    </w:p>
    <w:p w14:paraId="4A29C725" w14:textId="77777777" w:rsidR="00D0103B" w:rsidRDefault="00D0103B">
      <w:pPr>
        <w:pStyle w:val="ART"/>
        <w:tabs>
          <w:tab w:val="clear" w:pos="864"/>
          <w:tab w:val="num" w:pos="720"/>
        </w:tabs>
        <w:ind w:left="720" w:hanging="720"/>
        <w:rPr>
          <w:sz w:val="20"/>
        </w:rPr>
      </w:pPr>
      <w:r>
        <w:rPr>
          <w:sz w:val="20"/>
        </w:rPr>
        <w:t>QUALITY ASSURANCE</w:t>
      </w:r>
    </w:p>
    <w:p w14:paraId="3FC9B381" w14:textId="77777777" w:rsidR="00D0103B" w:rsidRDefault="00D0103B">
      <w:pPr>
        <w:pStyle w:val="PR1"/>
        <w:tabs>
          <w:tab w:val="clear" w:pos="864"/>
          <w:tab w:val="left" w:pos="720"/>
        </w:tabs>
        <w:spacing w:before="0"/>
        <w:ind w:left="720" w:hanging="540"/>
        <w:rPr>
          <w:sz w:val="20"/>
        </w:rPr>
      </w:pPr>
      <w:r>
        <w:rPr>
          <w:sz w:val="20"/>
        </w:rPr>
        <w:t>Electrical Components, Devices, and Accessories:  Listed and labeled as defined in NFPA 70, Article 100, by a testing agency acceptable to authorities having jurisdiction, and marked for intended use.</w:t>
      </w:r>
    </w:p>
    <w:p w14:paraId="37F82645" w14:textId="77777777" w:rsidR="00D0103B" w:rsidRDefault="00D0103B">
      <w:pPr>
        <w:pStyle w:val="CMT"/>
        <w:tabs>
          <w:tab w:val="left" w:pos="720"/>
        </w:tabs>
        <w:spacing w:before="0"/>
        <w:ind w:left="720" w:hanging="540"/>
        <w:rPr>
          <w:sz w:val="20"/>
        </w:rPr>
      </w:pPr>
      <w:r>
        <w:rPr>
          <w:sz w:val="20"/>
        </w:rPr>
        <w:t>Paragraph below is appropriate for private commercial projects.  Delete Public Laws 90-480 and 101-336 if not required by authorities having jurisdiction.</w:t>
      </w:r>
    </w:p>
    <w:p w14:paraId="45E0E6B4" w14:textId="77777777" w:rsidR="00D0103B" w:rsidRDefault="00D0103B">
      <w:pPr>
        <w:pStyle w:val="PR1"/>
        <w:tabs>
          <w:tab w:val="clear" w:pos="864"/>
          <w:tab w:val="left" w:pos="720"/>
        </w:tabs>
        <w:spacing w:before="0"/>
        <w:ind w:left="720" w:hanging="540"/>
        <w:rPr>
          <w:sz w:val="20"/>
        </w:rPr>
      </w:pPr>
      <w:r>
        <w:rPr>
          <w:sz w:val="20"/>
        </w:rPr>
        <w:t>Regulatory Requirements:  Comply with requirements in ICC A117.1, "Accessible and Usable Buildings and Facilities"; Public Law 90-480, "Architectural Barriers Act"; and Public Law 101-336, "Am</w:t>
      </w:r>
      <w:r w:rsidR="0070286B">
        <w:rPr>
          <w:sz w:val="20"/>
        </w:rPr>
        <w:t>ericans with Disabilities Act";</w:t>
      </w:r>
      <w:r>
        <w:rPr>
          <w:sz w:val="20"/>
        </w:rPr>
        <w:t xml:space="preserve"> about fixtures for people with disabilities.</w:t>
      </w:r>
    </w:p>
    <w:p w14:paraId="5FFF65B9" w14:textId="77777777" w:rsidR="00D0103B" w:rsidRDefault="00D0103B">
      <w:pPr>
        <w:pStyle w:val="CMT"/>
        <w:tabs>
          <w:tab w:val="left" w:pos="720"/>
        </w:tabs>
        <w:spacing w:before="0"/>
        <w:ind w:left="720" w:hanging="540"/>
        <w:rPr>
          <w:sz w:val="20"/>
        </w:rPr>
      </w:pPr>
      <w:r>
        <w:rPr>
          <w:sz w:val="20"/>
        </w:rPr>
        <w:t>Retain paragraph above or first paragraph below and edit as required for accessibility standards.  Below is appropriate for many Federal Government projects.  Delete if UFAS is not used by Owner or user agency.</w:t>
      </w:r>
    </w:p>
    <w:p w14:paraId="63EE5E58" w14:textId="77777777" w:rsidR="00D0103B" w:rsidRDefault="00D0103B">
      <w:pPr>
        <w:pStyle w:val="PR1"/>
        <w:tabs>
          <w:tab w:val="clear" w:pos="864"/>
          <w:tab w:val="left" w:pos="720"/>
        </w:tabs>
        <w:spacing w:before="0"/>
        <w:ind w:left="720" w:hanging="540"/>
        <w:rPr>
          <w:sz w:val="20"/>
        </w:rPr>
      </w:pPr>
      <w:r>
        <w:rPr>
          <w:sz w:val="20"/>
        </w:rPr>
        <w:t>Regulatory Requirements:  Comply with requirements in the U.S. Architectural &amp; Transportation Barriers Compliance Board's "Uniform Federal Accessibility Standards (UFAS), 1985-494-187" about fixtures for people with disabilities.</w:t>
      </w:r>
    </w:p>
    <w:p w14:paraId="4AA644A3" w14:textId="77777777" w:rsidR="00D0103B" w:rsidRDefault="00D0103B">
      <w:pPr>
        <w:pStyle w:val="PR1"/>
        <w:tabs>
          <w:tab w:val="clear" w:pos="864"/>
          <w:tab w:val="left" w:pos="720"/>
        </w:tabs>
        <w:spacing w:before="0"/>
        <w:ind w:left="720" w:hanging="540"/>
        <w:rPr>
          <w:sz w:val="20"/>
        </w:rPr>
      </w:pPr>
      <w:r>
        <w:rPr>
          <w:sz w:val="20"/>
        </w:rPr>
        <w:t>NSF Standard:  Comply with NSF 61, "Drinking Water System Components--Health Effects," for fixture materials that will be in contact with potable water.</w:t>
      </w:r>
    </w:p>
    <w:p w14:paraId="67A405EB" w14:textId="77777777" w:rsidR="00D0103B" w:rsidRDefault="00D0103B">
      <w:pPr>
        <w:pStyle w:val="PR1"/>
        <w:tabs>
          <w:tab w:val="clear" w:pos="864"/>
          <w:tab w:val="left" w:pos="720"/>
        </w:tabs>
        <w:spacing w:before="0"/>
        <w:ind w:left="720" w:hanging="540"/>
        <w:rPr>
          <w:sz w:val="20"/>
        </w:rPr>
      </w:pPr>
      <w:r>
        <w:rPr>
          <w:sz w:val="20"/>
        </w:rPr>
        <w:t>ARI Standard:  Comply with ARI 1010, "Self-Contained, Mechanically Refrigerated Drinking-Water Coolers," for water coolers and with ARI's "Directory of Certified Drinking Water Coolers" for type and style classifications.</w:t>
      </w:r>
    </w:p>
    <w:p w14:paraId="1A83E702" w14:textId="77777777" w:rsidR="00587181" w:rsidRDefault="00587181">
      <w:pPr>
        <w:pStyle w:val="PR1"/>
        <w:tabs>
          <w:tab w:val="clear" w:pos="864"/>
          <w:tab w:val="left" w:pos="720"/>
        </w:tabs>
        <w:spacing w:before="0"/>
        <w:ind w:left="720" w:hanging="540"/>
        <w:rPr>
          <w:sz w:val="20"/>
        </w:rPr>
      </w:pPr>
      <w:r>
        <w:rPr>
          <w:sz w:val="20"/>
        </w:rPr>
        <w:t>Warranty:  One year warranty on all parts plus an additional four years on sealed refrigeration system.  Manufacturer’s warranty shall cover replacement of parts; installation and delivery will be extra.  Contractor’s warranty shall include full replacement costs during the first year.</w:t>
      </w:r>
    </w:p>
    <w:p w14:paraId="5141FB03" w14:textId="77777777" w:rsidR="00D0103B" w:rsidRDefault="00D0103B">
      <w:pPr>
        <w:pStyle w:val="PRT"/>
        <w:rPr>
          <w:sz w:val="20"/>
        </w:rPr>
      </w:pPr>
      <w:r>
        <w:rPr>
          <w:sz w:val="20"/>
        </w:rPr>
        <w:t>PRODUCTS</w:t>
      </w:r>
    </w:p>
    <w:p w14:paraId="6B478046" w14:textId="77777777" w:rsidR="00D0103B" w:rsidRDefault="00D0103B">
      <w:pPr>
        <w:pStyle w:val="ART"/>
        <w:tabs>
          <w:tab w:val="clear" w:pos="864"/>
          <w:tab w:val="num" w:pos="720"/>
        </w:tabs>
        <w:ind w:left="720" w:hanging="720"/>
        <w:rPr>
          <w:sz w:val="20"/>
        </w:rPr>
      </w:pPr>
      <w:r>
        <w:rPr>
          <w:sz w:val="20"/>
        </w:rPr>
        <w:t>MANUFACTURERS (AS NOTED ON DRAWINGS)</w:t>
      </w:r>
    </w:p>
    <w:p w14:paraId="3110E3A2" w14:textId="77777777" w:rsidR="00D0103B" w:rsidRDefault="00D0103B">
      <w:pPr>
        <w:pStyle w:val="CMT"/>
        <w:tabs>
          <w:tab w:val="left" w:pos="720"/>
        </w:tabs>
        <w:spacing w:before="0"/>
        <w:ind w:left="720" w:hanging="720"/>
        <w:rPr>
          <w:sz w:val="20"/>
        </w:rPr>
      </w:pPr>
      <w:r>
        <w:rPr>
          <w:sz w:val="20"/>
        </w:rPr>
        <w:t>See Editing Instruction No. 1 in the Evaluations for cautions about naming manufacturers and products.</w:t>
      </w:r>
    </w:p>
    <w:p w14:paraId="6FF98E66" w14:textId="77777777" w:rsidR="00D0103B" w:rsidRDefault="00D0103B">
      <w:pPr>
        <w:pStyle w:val="CMT"/>
        <w:tabs>
          <w:tab w:val="left" w:pos="720"/>
        </w:tabs>
        <w:spacing w:before="0"/>
        <w:ind w:left="720" w:hanging="720"/>
        <w:rPr>
          <w:sz w:val="20"/>
        </w:rPr>
      </w:pPr>
      <w:r>
        <w:rPr>
          <w:sz w:val="20"/>
        </w:rPr>
        <w:t>The remaining articles in Part 2 specify typical plumbing fixtures and components.  Retain and edit only those articles applicable to Project.  See Editing Instruction No. 2 in the Evaluations for cautions about combinations of fixture components.</w:t>
      </w:r>
    </w:p>
    <w:p w14:paraId="53D8C302" w14:textId="77777777" w:rsidR="00D0103B" w:rsidRDefault="00D0103B">
      <w:pPr>
        <w:pStyle w:val="ART"/>
        <w:tabs>
          <w:tab w:val="clear" w:pos="864"/>
          <w:tab w:val="left" w:pos="720"/>
        </w:tabs>
        <w:ind w:left="720" w:hanging="720"/>
        <w:rPr>
          <w:sz w:val="20"/>
        </w:rPr>
      </w:pPr>
      <w:r>
        <w:rPr>
          <w:sz w:val="20"/>
        </w:rPr>
        <w:t>FIXTURE SUPPORTS</w:t>
      </w:r>
    </w:p>
    <w:p w14:paraId="3DBE098E" w14:textId="77777777" w:rsidR="00D0103B" w:rsidRDefault="00D0103B">
      <w:pPr>
        <w:pStyle w:val="CMT"/>
        <w:spacing w:before="0"/>
        <w:ind w:left="720" w:hanging="540"/>
        <w:rPr>
          <w:sz w:val="20"/>
        </w:rPr>
      </w:pPr>
      <w:r>
        <w:rPr>
          <w:sz w:val="20"/>
        </w:rPr>
        <w:t>This Article specifies typical fixture supports.  See Editing Instruction No. 5 in the Evaluations for cautions about fixture supports.</w:t>
      </w:r>
    </w:p>
    <w:p w14:paraId="3E8160A8" w14:textId="77777777" w:rsidR="00D0103B" w:rsidRDefault="00D0103B">
      <w:pPr>
        <w:pStyle w:val="PR1"/>
        <w:tabs>
          <w:tab w:val="clear" w:pos="864"/>
        </w:tabs>
        <w:spacing w:before="0"/>
        <w:ind w:left="720" w:hanging="540"/>
        <w:rPr>
          <w:sz w:val="20"/>
        </w:rPr>
      </w:pPr>
      <w:r>
        <w:rPr>
          <w:sz w:val="20"/>
        </w:rPr>
        <w:t>Off-Floor, Plumbing Fixture Supports:  ASME A112.6.1M, water-cooler carriers.  Include vertical, steel uprights with feet and tie rods and bearing plates with mounting studs matching fixture to be supported.</w:t>
      </w:r>
    </w:p>
    <w:p w14:paraId="0465DF3B" w14:textId="77777777" w:rsidR="00D0103B" w:rsidRDefault="00D0103B">
      <w:pPr>
        <w:pStyle w:val="CMT"/>
        <w:spacing w:before="0"/>
        <w:ind w:left="1080" w:hanging="360"/>
        <w:rPr>
          <w:sz w:val="20"/>
        </w:rPr>
      </w:pPr>
      <w:r>
        <w:rPr>
          <w:sz w:val="20"/>
        </w:rPr>
        <w:t>Retain "Available" in first subparagraph below for nonproprietary and delete "Available" for semiproprietary specifications.</w:t>
      </w:r>
    </w:p>
    <w:p w14:paraId="533197E0" w14:textId="77777777" w:rsidR="00D0103B" w:rsidRDefault="00D0103B">
      <w:pPr>
        <w:pStyle w:val="PR2"/>
        <w:tabs>
          <w:tab w:val="clear" w:pos="1440"/>
        </w:tabs>
        <w:ind w:left="1080" w:hanging="360"/>
        <w:rPr>
          <w:sz w:val="20"/>
        </w:rPr>
      </w:pPr>
      <w:r>
        <w:rPr>
          <w:sz w:val="20"/>
        </w:rPr>
        <w:t>Type I:  Hanger-type carrier with two vertical uprights.</w:t>
      </w:r>
    </w:p>
    <w:p w14:paraId="309C441E" w14:textId="77777777" w:rsidR="00D0103B" w:rsidRDefault="00D0103B">
      <w:pPr>
        <w:pStyle w:val="PR2"/>
        <w:tabs>
          <w:tab w:val="clear" w:pos="1440"/>
        </w:tabs>
        <w:ind w:left="1080" w:hanging="360"/>
        <w:rPr>
          <w:sz w:val="20"/>
        </w:rPr>
      </w:pPr>
      <w:r>
        <w:rPr>
          <w:sz w:val="20"/>
        </w:rPr>
        <w:t>Type II:  Bilevel, hanger-type carrier with three vertical uprights.</w:t>
      </w:r>
    </w:p>
    <w:p w14:paraId="75EE0145" w14:textId="77777777" w:rsidR="00D0103B" w:rsidRDefault="00D0103B">
      <w:pPr>
        <w:pStyle w:val="PR2"/>
        <w:tabs>
          <w:tab w:val="clear" w:pos="1440"/>
        </w:tabs>
        <w:ind w:left="1080" w:hanging="360"/>
        <w:rPr>
          <w:sz w:val="20"/>
        </w:rPr>
      </w:pPr>
      <w:r>
        <w:rPr>
          <w:sz w:val="20"/>
        </w:rPr>
        <w:lastRenderedPageBreak/>
        <w:t>Supports for Accessible Fixtures:  Include rectangular, vertical, steel uprights instead of steel pipe uprights.</w:t>
      </w:r>
    </w:p>
    <w:p w14:paraId="46B3B41E" w14:textId="77777777" w:rsidR="00D0103B" w:rsidRDefault="00D0103B">
      <w:pPr>
        <w:pStyle w:val="PRT"/>
        <w:rPr>
          <w:sz w:val="20"/>
        </w:rPr>
      </w:pPr>
      <w:r>
        <w:rPr>
          <w:sz w:val="20"/>
        </w:rPr>
        <w:t>EXECUTION</w:t>
      </w:r>
    </w:p>
    <w:p w14:paraId="7711CD12" w14:textId="77777777" w:rsidR="00D0103B" w:rsidRDefault="00D0103B">
      <w:pPr>
        <w:pStyle w:val="ART"/>
        <w:tabs>
          <w:tab w:val="clear" w:pos="864"/>
          <w:tab w:val="num" w:pos="720"/>
        </w:tabs>
        <w:ind w:left="720" w:hanging="720"/>
        <w:rPr>
          <w:sz w:val="20"/>
        </w:rPr>
      </w:pPr>
      <w:r>
        <w:rPr>
          <w:sz w:val="20"/>
        </w:rPr>
        <w:t>APPLICATIONS</w:t>
      </w:r>
    </w:p>
    <w:p w14:paraId="00F51425" w14:textId="77777777" w:rsidR="00D0103B" w:rsidRDefault="00D0103B">
      <w:pPr>
        <w:pStyle w:val="PR1"/>
        <w:tabs>
          <w:tab w:val="clear" w:pos="864"/>
        </w:tabs>
        <w:spacing w:before="0"/>
        <w:ind w:left="720" w:hanging="540"/>
        <w:rPr>
          <w:sz w:val="20"/>
        </w:rPr>
      </w:pPr>
      <w:r>
        <w:rPr>
          <w:sz w:val="20"/>
        </w:rPr>
        <w:t>Use carrier off-floor supports for wall-hanging fixtures, unless otherwise indicated.</w:t>
      </w:r>
    </w:p>
    <w:p w14:paraId="5512726F" w14:textId="77777777" w:rsidR="00D0103B" w:rsidRDefault="00D0103B">
      <w:pPr>
        <w:pStyle w:val="PR1"/>
        <w:tabs>
          <w:tab w:val="clear" w:pos="864"/>
        </w:tabs>
        <w:spacing w:before="0"/>
        <w:ind w:left="720" w:hanging="540"/>
        <w:rPr>
          <w:sz w:val="20"/>
        </w:rPr>
      </w:pPr>
      <w:r>
        <w:rPr>
          <w:sz w:val="20"/>
        </w:rPr>
        <w:t>Use mounting frames for recessed water coolers, unless otherwise indicated.</w:t>
      </w:r>
    </w:p>
    <w:p w14:paraId="3FBCDF7F" w14:textId="77777777" w:rsidR="00D0103B" w:rsidRDefault="00D0103B">
      <w:pPr>
        <w:pStyle w:val="PR1"/>
        <w:tabs>
          <w:tab w:val="clear" w:pos="864"/>
        </w:tabs>
        <w:spacing w:before="0"/>
        <w:ind w:left="720" w:hanging="540"/>
        <w:rPr>
          <w:sz w:val="20"/>
        </w:rPr>
      </w:pPr>
      <w:r>
        <w:rPr>
          <w:sz w:val="20"/>
        </w:rPr>
        <w:t>Set freestanding and pedestal drinking fountains on floor.</w:t>
      </w:r>
    </w:p>
    <w:p w14:paraId="4BD6E1E7" w14:textId="77777777" w:rsidR="00D0103B" w:rsidRDefault="00D0103B">
      <w:pPr>
        <w:pStyle w:val="PR1"/>
        <w:tabs>
          <w:tab w:val="clear" w:pos="864"/>
        </w:tabs>
        <w:spacing w:before="0"/>
        <w:ind w:left="720" w:hanging="540"/>
        <w:rPr>
          <w:sz w:val="20"/>
        </w:rPr>
      </w:pPr>
      <w:r>
        <w:rPr>
          <w:sz w:val="20"/>
        </w:rPr>
        <w:t>Use chrome-plated brass or copper tube, fittings, and valves in locations exposed to view.  Plain copper tube, fittings, and valves may be used in concealed locations.</w:t>
      </w:r>
    </w:p>
    <w:p w14:paraId="0DA541CC" w14:textId="77777777" w:rsidR="00D0103B" w:rsidRDefault="00FE5EB1">
      <w:pPr>
        <w:pStyle w:val="ART"/>
        <w:tabs>
          <w:tab w:val="clear" w:pos="864"/>
          <w:tab w:val="num" w:pos="720"/>
        </w:tabs>
        <w:ind w:left="720" w:hanging="720"/>
        <w:rPr>
          <w:sz w:val="20"/>
        </w:rPr>
      </w:pPr>
      <w:r>
        <w:rPr>
          <w:sz w:val="20"/>
        </w:rPr>
        <w:br w:type="page"/>
      </w:r>
      <w:r w:rsidR="00D0103B">
        <w:rPr>
          <w:sz w:val="20"/>
        </w:rPr>
        <w:lastRenderedPageBreak/>
        <w:t>INSTALLATION</w:t>
      </w:r>
    </w:p>
    <w:p w14:paraId="17D9F1A6" w14:textId="77777777" w:rsidR="00B359D5" w:rsidRDefault="00B359D5">
      <w:pPr>
        <w:pStyle w:val="PR1"/>
        <w:tabs>
          <w:tab w:val="clear" w:pos="864"/>
          <w:tab w:val="left" w:pos="720"/>
        </w:tabs>
        <w:spacing w:before="0"/>
        <w:ind w:left="720" w:hanging="540"/>
        <w:rPr>
          <w:sz w:val="20"/>
        </w:rPr>
      </w:pPr>
      <w:r>
        <w:rPr>
          <w:sz w:val="20"/>
        </w:rPr>
        <w:t>Verify all electrical requirements for the water coolers and water fountains and ensure the electrical subcontractor has installed all necessary power requirements.  Coordinate all electrical requirements of the coolers and fountains with the electrical subcontractor.</w:t>
      </w:r>
    </w:p>
    <w:p w14:paraId="1F182C2C" w14:textId="77777777" w:rsidR="00D0103B" w:rsidRDefault="00D0103B">
      <w:pPr>
        <w:pStyle w:val="PR1"/>
        <w:tabs>
          <w:tab w:val="clear" w:pos="864"/>
          <w:tab w:val="left" w:pos="720"/>
        </w:tabs>
        <w:spacing w:before="0"/>
        <w:ind w:left="720" w:hanging="540"/>
        <w:rPr>
          <w:sz w:val="20"/>
        </w:rPr>
      </w:pPr>
      <w:r>
        <w:rPr>
          <w:sz w:val="20"/>
        </w:rPr>
        <w:t>Install off-floor supports affixed to building substrate and attach wall-hanging fixtures, unless otherwise indicated.</w:t>
      </w:r>
    </w:p>
    <w:p w14:paraId="7D6356AB" w14:textId="77777777" w:rsidR="00D0103B" w:rsidRDefault="00D0103B">
      <w:pPr>
        <w:pStyle w:val="PR1"/>
        <w:tabs>
          <w:tab w:val="clear" w:pos="864"/>
          <w:tab w:val="left" w:pos="720"/>
        </w:tabs>
        <w:spacing w:before="0"/>
        <w:ind w:left="720" w:hanging="540"/>
        <w:rPr>
          <w:sz w:val="20"/>
        </w:rPr>
      </w:pPr>
      <w:r>
        <w:rPr>
          <w:sz w:val="20"/>
        </w:rPr>
        <w:t>Install fixtures level and plumb.</w:t>
      </w:r>
    </w:p>
    <w:p w14:paraId="6700D149" w14:textId="77777777" w:rsidR="00D0103B" w:rsidRDefault="00D0103B">
      <w:pPr>
        <w:pStyle w:val="PR1"/>
        <w:tabs>
          <w:tab w:val="clear" w:pos="864"/>
          <w:tab w:val="left" w:pos="720"/>
        </w:tabs>
        <w:spacing w:before="0"/>
        <w:ind w:left="720" w:hanging="540"/>
        <w:rPr>
          <w:sz w:val="20"/>
        </w:rPr>
      </w:pPr>
      <w:r>
        <w:rPr>
          <w:sz w:val="20"/>
        </w:rPr>
        <w:t>Install water-supply piping with shutoff valve on supply to each fixture to be connected to water distribution piping.  Use ball, gate, or globe valve.  Install valves in locations where they can be easily reached for operation.  Refer to Division 15 Section "Valves" for general-duty valves.</w:t>
      </w:r>
    </w:p>
    <w:p w14:paraId="2569BE67" w14:textId="77777777" w:rsidR="00D0103B" w:rsidRDefault="00D0103B">
      <w:pPr>
        <w:pStyle w:val="PR1"/>
        <w:tabs>
          <w:tab w:val="clear" w:pos="864"/>
          <w:tab w:val="left" w:pos="720"/>
        </w:tabs>
        <w:spacing w:before="0"/>
        <w:ind w:left="720" w:hanging="540"/>
        <w:rPr>
          <w:sz w:val="20"/>
        </w:rPr>
      </w:pPr>
      <w:r>
        <w:rPr>
          <w:sz w:val="20"/>
        </w:rPr>
        <w:t>Install trap and waste piping on drain outlet of each fixture to be connected to sanitary drainage system.</w:t>
      </w:r>
    </w:p>
    <w:p w14:paraId="64BA49EF" w14:textId="77777777" w:rsidR="00D0103B" w:rsidRDefault="00D0103B">
      <w:pPr>
        <w:pStyle w:val="PR1"/>
        <w:tabs>
          <w:tab w:val="clear" w:pos="864"/>
          <w:tab w:val="left" w:pos="720"/>
        </w:tabs>
        <w:spacing w:before="0"/>
        <w:ind w:left="720" w:hanging="540"/>
        <w:rPr>
          <w:sz w:val="20"/>
        </w:rPr>
      </w:pPr>
      <w:r>
        <w:rPr>
          <w:sz w:val="20"/>
        </w:rPr>
        <w:t>Install pipe escutcheons at wall penetrations in exposed, finished locations.  Use deep-pattern escutcheons where required to conceal protruding pipe fittings.  Refer to Division 15 Section "Basic Mechanical Materials and Methods" for escutcheons.</w:t>
      </w:r>
    </w:p>
    <w:p w14:paraId="59B351D4" w14:textId="77777777" w:rsidR="00D0103B" w:rsidRDefault="00D0103B">
      <w:pPr>
        <w:pStyle w:val="CMT"/>
        <w:tabs>
          <w:tab w:val="left" w:pos="720"/>
        </w:tabs>
        <w:spacing w:before="0"/>
        <w:ind w:left="720" w:hanging="540"/>
        <w:rPr>
          <w:sz w:val="20"/>
        </w:rPr>
      </w:pPr>
      <w:r>
        <w:rPr>
          <w:sz w:val="20"/>
        </w:rPr>
        <w:t>Delete below if sealants are provided in Division 7 Section "Joint Sealants."</w:t>
      </w:r>
    </w:p>
    <w:p w14:paraId="4F572375" w14:textId="77777777" w:rsidR="00D0103B" w:rsidRDefault="00D0103B">
      <w:pPr>
        <w:pStyle w:val="PR1"/>
        <w:tabs>
          <w:tab w:val="clear" w:pos="864"/>
          <w:tab w:val="left" w:pos="720"/>
        </w:tabs>
        <w:spacing w:before="0"/>
        <w:ind w:left="720" w:hanging="540"/>
        <w:rPr>
          <w:sz w:val="20"/>
        </w:rPr>
      </w:pPr>
      <w:r>
        <w:rPr>
          <w:sz w:val="20"/>
        </w:rPr>
        <w:t>Seal joints between fixtures and walls and floors using sanitary-type, one-part, mildew-resistant, silicone sealant.  Match sealant color to fixture color.  Refer to Division 7 Section "Joint Sealants" for sealant and installation requirements.</w:t>
      </w:r>
    </w:p>
    <w:p w14:paraId="5CF8197E" w14:textId="77777777" w:rsidR="00D0103B" w:rsidRDefault="00D0103B">
      <w:pPr>
        <w:pStyle w:val="ART"/>
        <w:tabs>
          <w:tab w:val="clear" w:pos="864"/>
          <w:tab w:val="num" w:pos="720"/>
        </w:tabs>
        <w:ind w:left="720" w:hanging="720"/>
        <w:rPr>
          <w:sz w:val="20"/>
        </w:rPr>
      </w:pPr>
      <w:r>
        <w:rPr>
          <w:sz w:val="20"/>
        </w:rPr>
        <w:t>CONNECTIONS</w:t>
      </w:r>
    </w:p>
    <w:p w14:paraId="34F6D662" w14:textId="77777777" w:rsidR="00D0103B" w:rsidRDefault="00D0103B">
      <w:pPr>
        <w:pStyle w:val="PR1"/>
        <w:tabs>
          <w:tab w:val="clear" w:pos="864"/>
        </w:tabs>
        <w:spacing w:before="0"/>
        <w:ind w:left="720" w:hanging="540"/>
        <w:rPr>
          <w:sz w:val="20"/>
        </w:rPr>
      </w:pPr>
      <w:r>
        <w:rPr>
          <w:sz w:val="20"/>
        </w:rPr>
        <w:t>Connect water supplies from water distribution piping to fixtures.</w:t>
      </w:r>
    </w:p>
    <w:p w14:paraId="7C8B3EBF" w14:textId="77777777" w:rsidR="00D0103B" w:rsidRDefault="00D0103B">
      <w:pPr>
        <w:pStyle w:val="PR1"/>
        <w:tabs>
          <w:tab w:val="clear" w:pos="864"/>
        </w:tabs>
        <w:spacing w:before="0"/>
        <w:ind w:left="720" w:hanging="540"/>
        <w:rPr>
          <w:sz w:val="20"/>
        </w:rPr>
      </w:pPr>
      <w:r>
        <w:rPr>
          <w:sz w:val="20"/>
        </w:rPr>
        <w:t>Connect drain piping from fixtures to drainage piping.</w:t>
      </w:r>
    </w:p>
    <w:p w14:paraId="04F31ABA" w14:textId="77777777" w:rsidR="00D0103B" w:rsidRDefault="00D0103B">
      <w:pPr>
        <w:pStyle w:val="ART"/>
        <w:tabs>
          <w:tab w:val="clear" w:pos="864"/>
          <w:tab w:val="num" w:pos="720"/>
        </w:tabs>
        <w:ind w:left="720" w:hanging="720"/>
        <w:rPr>
          <w:sz w:val="20"/>
        </w:rPr>
      </w:pPr>
      <w:r>
        <w:rPr>
          <w:sz w:val="20"/>
        </w:rPr>
        <w:t>ADJUSTING</w:t>
      </w:r>
    </w:p>
    <w:p w14:paraId="7D55166D" w14:textId="77777777" w:rsidR="00D0103B" w:rsidRDefault="00D0103B">
      <w:pPr>
        <w:pStyle w:val="PR1"/>
        <w:tabs>
          <w:tab w:val="clear" w:pos="864"/>
        </w:tabs>
        <w:spacing w:before="0"/>
        <w:ind w:left="720" w:hanging="540"/>
        <w:rPr>
          <w:sz w:val="20"/>
        </w:rPr>
      </w:pPr>
      <w:r>
        <w:rPr>
          <w:sz w:val="20"/>
        </w:rPr>
        <w:t>Adjust fixture flow regulators for proper flow and stream height.</w:t>
      </w:r>
    </w:p>
    <w:p w14:paraId="444A5107" w14:textId="77777777" w:rsidR="00D0103B" w:rsidRDefault="00D0103B">
      <w:pPr>
        <w:pStyle w:val="PR1"/>
        <w:tabs>
          <w:tab w:val="clear" w:pos="864"/>
        </w:tabs>
        <w:spacing w:before="0"/>
        <w:ind w:left="720" w:hanging="540"/>
        <w:rPr>
          <w:sz w:val="20"/>
        </w:rPr>
      </w:pPr>
      <w:r>
        <w:rPr>
          <w:sz w:val="20"/>
        </w:rPr>
        <w:t>Adjust water-cooler temperature settings.</w:t>
      </w:r>
    </w:p>
    <w:p w14:paraId="72135614" w14:textId="77777777" w:rsidR="00D0103B" w:rsidRDefault="00D0103B">
      <w:pPr>
        <w:pStyle w:val="EOS"/>
        <w:jc w:val="center"/>
        <w:rPr>
          <w:sz w:val="20"/>
        </w:rPr>
      </w:pPr>
      <w:r>
        <w:rPr>
          <w:sz w:val="20"/>
        </w:rPr>
        <w:t>END OF SECTION 15415</w:t>
      </w:r>
    </w:p>
    <w:sectPr w:rsidR="00D0103B" w:rsidSect="0077464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910F" w14:textId="77777777" w:rsidR="0078441B" w:rsidRDefault="0078441B">
      <w:r>
        <w:separator/>
      </w:r>
    </w:p>
  </w:endnote>
  <w:endnote w:type="continuationSeparator" w:id="0">
    <w:p w14:paraId="07D79967" w14:textId="77777777" w:rsidR="0078441B" w:rsidRDefault="007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AAE9" w14:textId="77777777" w:rsidR="005B54FD" w:rsidRDefault="005B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DF4F" w14:textId="77777777" w:rsidR="00101AEB" w:rsidRDefault="00101AEB">
    <w:pPr>
      <w:pStyle w:val="FTR"/>
      <w:tabs>
        <w:tab w:val="center" w:pos="4680"/>
      </w:tabs>
      <w:rPr>
        <w:b/>
        <w:sz w:val="20"/>
      </w:rPr>
    </w:pPr>
    <w:r>
      <w:rPr>
        <w:b/>
        <w:sz w:val="20"/>
      </w:rPr>
      <w:t>DRINKING FOUNTAINS AND WATER COOLERS</w:t>
    </w:r>
    <w:r>
      <w:rPr>
        <w:b/>
        <w:sz w:val="20"/>
      </w:rPr>
      <w:tab/>
    </w:r>
    <w:r>
      <w:rPr>
        <w:b/>
        <w:sz w:val="20"/>
      </w:rPr>
      <w:tab/>
      <w:t>15415-</w:t>
    </w:r>
    <w:r w:rsidR="004423E6">
      <w:rPr>
        <w:b/>
        <w:sz w:val="20"/>
      </w:rPr>
      <w:fldChar w:fldCharType="begin"/>
    </w:r>
    <w:r>
      <w:rPr>
        <w:b/>
        <w:sz w:val="20"/>
      </w:rPr>
      <w:instrText xml:space="preserve"> PAGE  \* MERGEFORMAT </w:instrText>
    </w:r>
    <w:r w:rsidR="004423E6">
      <w:rPr>
        <w:b/>
        <w:sz w:val="20"/>
      </w:rPr>
      <w:fldChar w:fldCharType="separate"/>
    </w:r>
    <w:r w:rsidR="0070286B">
      <w:rPr>
        <w:b/>
        <w:noProof/>
        <w:sz w:val="20"/>
      </w:rPr>
      <w:t>1</w:t>
    </w:r>
    <w:r w:rsidR="004423E6">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6629" w14:textId="77777777" w:rsidR="005B54FD" w:rsidRDefault="005B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4308" w14:textId="77777777" w:rsidR="0078441B" w:rsidRDefault="0078441B">
      <w:r>
        <w:separator/>
      </w:r>
    </w:p>
  </w:footnote>
  <w:footnote w:type="continuationSeparator" w:id="0">
    <w:p w14:paraId="2115CCA5" w14:textId="77777777" w:rsidR="0078441B" w:rsidRDefault="0078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C5EF" w14:textId="77777777" w:rsidR="005B54FD" w:rsidRDefault="005B5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0696" w14:textId="707AF385" w:rsidR="00101AEB" w:rsidRDefault="00101AEB">
    <w:pPr>
      <w:pStyle w:val="HDR"/>
      <w:rPr>
        <w:b/>
        <w:sz w:val="20"/>
      </w:rPr>
    </w:pPr>
    <w:r>
      <w:rPr>
        <w:b/>
        <w:sz w:val="20"/>
      </w:rPr>
      <w:t xml:space="preserve">LOWE'S OF </w:t>
    </w:r>
    <w:r w:rsidR="005B54FD">
      <w:rPr>
        <w:b/>
        <w:sz w:val="20"/>
      </w:rPr>
      <w:t>WESTIELD, FL.</w:t>
    </w:r>
    <w:r>
      <w:rPr>
        <w:b/>
        <w:sz w:val="20"/>
      </w:rPr>
      <w:tab/>
    </w:r>
    <w:r>
      <w:rPr>
        <w:b/>
        <w:sz w:val="20"/>
      </w:rPr>
      <w:tab/>
    </w:r>
    <w:r w:rsidR="0070286B">
      <w:rPr>
        <w:b/>
        <w:sz w:val="20"/>
      </w:rPr>
      <w:t>06</w:t>
    </w:r>
    <w:r w:rsidR="00D614D8">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CE40" w14:textId="77777777" w:rsidR="005B54FD" w:rsidRDefault="005B5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80B13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47025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C03CB"/>
    <w:rsid w:val="0003215A"/>
    <w:rsid w:val="000D04A2"/>
    <w:rsid w:val="000D0C25"/>
    <w:rsid w:val="000E10BA"/>
    <w:rsid w:val="000E3431"/>
    <w:rsid w:val="00101AEB"/>
    <w:rsid w:val="001108B8"/>
    <w:rsid w:val="00121E16"/>
    <w:rsid w:val="00122AE6"/>
    <w:rsid w:val="00127F4A"/>
    <w:rsid w:val="0014112E"/>
    <w:rsid w:val="001415A5"/>
    <w:rsid w:val="00150145"/>
    <w:rsid w:val="0016227E"/>
    <w:rsid w:val="00177ACB"/>
    <w:rsid w:val="001B3F36"/>
    <w:rsid w:val="001C592A"/>
    <w:rsid w:val="001D6CBB"/>
    <w:rsid w:val="00237E18"/>
    <w:rsid w:val="00241014"/>
    <w:rsid w:val="00260030"/>
    <w:rsid w:val="002972BF"/>
    <w:rsid w:val="00300E8A"/>
    <w:rsid w:val="00312167"/>
    <w:rsid w:val="00326DE1"/>
    <w:rsid w:val="00333C92"/>
    <w:rsid w:val="0037039F"/>
    <w:rsid w:val="00385464"/>
    <w:rsid w:val="003B6434"/>
    <w:rsid w:val="003C38BB"/>
    <w:rsid w:val="003F2258"/>
    <w:rsid w:val="003F2B0B"/>
    <w:rsid w:val="0040023A"/>
    <w:rsid w:val="004423E6"/>
    <w:rsid w:val="0044782A"/>
    <w:rsid w:val="00471048"/>
    <w:rsid w:val="004D775B"/>
    <w:rsid w:val="004F6E6C"/>
    <w:rsid w:val="00511772"/>
    <w:rsid w:val="005562D0"/>
    <w:rsid w:val="005729B7"/>
    <w:rsid w:val="00587181"/>
    <w:rsid w:val="00587222"/>
    <w:rsid w:val="00594EE4"/>
    <w:rsid w:val="005B54FD"/>
    <w:rsid w:val="005F33F0"/>
    <w:rsid w:val="00600212"/>
    <w:rsid w:val="00696D99"/>
    <w:rsid w:val="006A1A73"/>
    <w:rsid w:val="006C5C7D"/>
    <w:rsid w:val="006F7F31"/>
    <w:rsid w:val="0070286B"/>
    <w:rsid w:val="0070321A"/>
    <w:rsid w:val="00744880"/>
    <w:rsid w:val="00774640"/>
    <w:rsid w:val="0078441B"/>
    <w:rsid w:val="00785D25"/>
    <w:rsid w:val="0079426F"/>
    <w:rsid w:val="007D0A70"/>
    <w:rsid w:val="00861988"/>
    <w:rsid w:val="00865400"/>
    <w:rsid w:val="008B457F"/>
    <w:rsid w:val="008E4447"/>
    <w:rsid w:val="008F1EA7"/>
    <w:rsid w:val="009336CE"/>
    <w:rsid w:val="009909A1"/>
    <w:rsid w:val="00994655"/>
    <w:rsid w:val="009A5E70"/>
    <w:rsid w:val="009D4BDB"/>
    <w:rsid w:val="009E3B60"/>
    <w:rsid w:val="009F7E68"/>
    <w:rsid w:val="00A10646"/>
    <w:rsid w:val="00A64348"/>
    <w:rsid w:val="00A910C0"/>
    <w:rsid w:val="00A96531"/>
    <w:rsid w:val="00AF49A3"/>
    <w:rsid w:val="00B1388E"/>
    <w:rsid w:val="00B359D5"/>
    <w:rsid w:val="00B658C4"/>
    <w:rsid w:val="00B714E3"/>
    <w:rsid w:val="00BD4E7E"/>
    <w:rsid w:val="00C321D6"/>
    <w:rsid w:val="00C808B2"/>
    <w:rsid w:val="00CA5A07"/>
    <w:rsid w:val="00CC03CB"/>
    <w:rsid w:val="00CE29EF"/>
    <w:rsid w:val="00D0103B"/>
    <w:rsid w:val="00D161AF"/>
    <w:rsid w:val="00D31229"/>
    <w:rsid w:val="00D456C6"/>
    <w:rsid w:val="00D50463"/>
    <w:rsid w:val="00D614D8"/>
    <w:rsid w:val="00D9572F"/>
    <w:rsid w:val="00D96F3B"/>
    <w:rsid w:val="00E076EF"/>
    <w:rsid w:val="00E14516"/>
    <w:rsid w:val="00E45989"/>
    <w:rsid w:val="00E620F4"/>
    <w:rsid w:val="00EF1FDB"/>
    <w:rsid w:val="00F029B0"/>
    <w:rsid w:val="00F0475D"/>
    <w:rsid w:val="00F146D4"/>
    <w:rsid w:val="00F440DD"/>
    <w:rsid w:val="00F5758C"/>
    <w:rsid w:val="00F71C0A"/>
    <w:rsid w:val="00F901CA"/>
    <w:rsid w:val="00F963B4"/>
    <w:rsid w:val="00FB48C0"/>
    <w:rsid w:val="00FE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E53ED"/>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640"/>
    <w:rPr>
      <w:sz w:val="22"/>
    </w:rPr>
  </w:style>
  <w:style w:type="paragraph" w:styleId="Heading1">
    <w:name w:val="heading 1"/>
    <w:basedOn w:val="Normal"/>
    <w:next w:val="Normal"/>
    <w:qFormat/>
    <w:rsid w:val="0077464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774640"/>
    <w:pPr>
      <w:tabs>
        <w:tab w:val="center" w:pos="4608"/>
        <w:tab w:val="right" w:pos="9360"/>
      </w:tabs>
      <w:suppressAutoHyphens/>
      <w:jc w:val="both"/>
    </w:pPr>
  </w:style>
  <w:style w:type="paragraph" w:customStyle="1" w:styleId="FTR">
    <w:name w:val="FTR"/>
    <w:basedOn w:val="Normal"/>
    <w:next w:val="SCT"/>
    <w:rsid w:val="00774640"/>
    <w:pPr>
      <w:tabs>
        <w:tab w:val="right" w:pos="9360"/>
      </w:tabs>
      <w:suppressAutoHyphens/>
      <w:jc w:val="both"/>
    </w:pPr>
  </w:style>
  <w:style w:type="paragraph" w:customStyle="1" w:styleId="SCT">
    <w:name w:val="SCT"/>
    <w:basedOn w:val="Normal"/>
    <w:next w:val="PRT"/>
    <w:rsid w:val="00774640"/>
    <w:pPr>
      <w:suppressAutoHyphens/>
      <w:spacing w:before="240"/>
      <w:jc w:val="both"/>
    </w:pPr>
  </w:style>
  <w:style w:type="paragraph" w:customStyle="1" w:styleId="PRT">
    <w:name w:val="PRT"/>
    <w:basedOn w:val="Normal"/>
    <w:next w:val="ART"/>
    <w:rsid w:val="00774640"/>
    <w:pPr>
      <w:numPr>
        <w:numId w:val="1"/>
      </w:numPr>
      <w:suppressAutoHyphens/>
      <w:spacing w:before="240"/>
      <w:jc w:val="both"/>
      <w:outlineLvl w:val="0"/>
    </w:pPr>
  </w:style>
  <w:style w:type="paragraph" w:customStyle="1" w:styleId="SUT">
    <w:name w:val="SUT"/>
    <w:basedOn w:val="Normal"/>
    <w:next w:val="PR1"/>
    <w:rsid w:val="00774640"/>
    <w:pPr>
      <w:numPr>
        <w:ilvl w:val="1"/>
        <w:numId w:val="1"/>
      </w:numPr>
      <w:suppressAutoHyphens/>
      <w:spacing w:before="240"/>
      <w:jc w:val="both"/>
      <w:outlineLvl w:val="0"/>
    </w:pPr>
  </w:style>
  <w:style w:type="paragraph" w:customStyle="1" w:styleId="DST">
    <w:name w:val="DST"/>
    <w:basedOn w:val="Normal"/>
    <w:next w:val="PR1"/>
    <w:rsid w:val="00774640"/>
    <w:pPr>
      <w:numPr>
        <w:ilvl w:val="2"/>
        <w:numId w:val="1"/>
      </w:numPr>
      <w:suppressAutoHyphens/>
      <w:spacing w:before="240"/>
      <w:jc w:val="both"/>
      <w:outlineLvl w:val="0"/>
    </w:pPr>
  </w:style>
  <w:style w:type="paragraph" w:customStyle="1" w:styleId="ART">
    <w:name w:val="ART"/>
    <w:basedOn w:val="Normal"/>
    <w:next w:val="PR1"/>
    <w:rsid w:val="00774640"/>
    <w:pPr>
      <w:numPr>
        <w:ilvl w:val="3"/>
        <w:numId w:val="1"/>
      </w:numPr>
      <w:suppressAutoHyphens/>
      <w:spacing w:before="240"/>
      <w:jc w:val="both"/>
      <w:outlineLvl w:val="1"/>
    </w:pPr>
  </w:style>
  <w:style w:type="paragraph" w:customStyle="1" w:styleId="PR1">
    <w:name w:val="PR1"/>
    <w:basedOn w:val="Normal"/>
    <w:rsid w:val="00774640"/>
    <w:pPr>
      <w:numPr>
        <w:ilvl w:val="4"/>
        <w:numId w:val="1"/>
      </w:numPr>
      <w:suppressAutoHyphens/>
      <w:spacing w:before="240"/>
      <w:jc w:val="both"/>
      <w:outlineLvl w:val="2"/>
    </w:pPr>
  </w:style>
  <w:style w:type="paragraph" w:customStyle="1" w:styleId="PR2">
    <w:name w:val="PR2"/>
    <w:basedOn w:val="Normal"/>
    <w:rsid w:val="00774640"/>
    <w:pPr>
      <w:numPr>
        <w:ilvl w:val="5"/>
        <w:numId w:val="1"/>
      </w:numPr>
      <w:suppressAutoHyphens/>
      <w:jc w:val="both"/>
      <w:outlineLvl w:val="3"/>
    </w:pPr>
  </w:style>
  <w:style w:type="paragraph" w:customStyle="1" w:styleId="PR3">
    <w:name w:val="PR3"/>
    <w:basedOn w:val="Normal"/>
    <w:rsid w:val="00774640"/>
    <w:pPr>
      <w:numPr>
        <w:ilvl w:val="6"/>
        <w:numId w:val="1"/>
      </w:numPr>
      <w:suppressAutoHyphens/>
      <w:jc w:val="both"/>
      <w:outlineLvl w:val="4"/>
    </w:pPr>
  </w:style>
  <w:style w:type="paragraph" w:customStyle="1" w:styleId="PR4">
    <w:name w:val="PR4"/>
    <w:basedOn w:val="Normal"/>
    <w:rsid w:val="00774640"/>
    <w:pPr>
      <w:numPr>
        <w:ilvl w:val="7"/>
        <w:numId w:val="1"/>
      </w:numPr>
      <w:suppressAutoHyphens/>
      <w:jc w:val="both"/>
      <w:outlineLvl w:val="5"/>
    </w:pPr>
  </w:style>
  <w:style w:type="paragraph" w:customStyle="1" w:styleId="PR5">
    <w:name w:val="PR5"/>
    <w:basedOn w:val="Normal"/>
    <w:rsid w:val="00774640"/>
    <w:pPr>
      <w:numPr>
        <w:ilvl w:val="8"/>
        <w:numId w:val="1"/>
      </w:numPr>
      <w:suppressAutoHyphens/>
      <w:jc w:val="both"/>
      <w:outlineLvl w:val="6"/>
    </w:pPr>
  </w:style>
  <w:style w:type="paragraph" w:customStyle="1" w:styleId="TB1">
    <w:name w:val="TB1"/>
    <w:basedOn w:val="Normal"/>
    <w:next w:val="PR1"/>
    <w:rsid w:val="00774640"/>
    <w:pPr>
      <w:suppressAutoHyphens/>
      <w:spacing w:before="240"/>
      <w:ind w:left="288"/>
      <w:jc w:val="both"/>
    </w:pPr>
  </w:style>
  <w:style w:type="paragraph" w:customStyle="1" w:styleId="TB2">
    <w:name w:val="TB2"/>
    <w:basedOn w:val="Normal"/>
    <w:next w:val="PR2"/>
    <w:rsid w:val="00774640"/>
    <w:pPr>
      <w:suppressAutoHyphens/>
      <w:spacing w:before="240"/>
      <w:ind w:left="864"/>
      <w:jc w:val="both"/>
    </w:pPr>
  </w:style>
  <w:style w:type="paragraph" w:customStyle="1" w:styleId="TB3">
    <w:name w:val="TB3"/>
    <w:basedOn w:val="Normal"/>
    <w:next w:val="PR3"/>
    <w:rsid w:val="00774640"/>
    <w:pPr>
      <w:suppressAutoHyphens/>
      <w:spacing w:before="240"/>
      <w:ind w:left="1440"/>
      <w:jc w:val="both"/>
    </w:pPr>
  </w:style>
  <w:style w:type="paragraph" w:customStyle="1" w:styleId="TB4">
    <w:name w:val="TB4"/>
    <w:basedOn w:val="Normal"/>
    <w:next w:val="PR4"/>
    <w:rsid w:val="00774640"/>
    <w:pPr>
      <w:suppressAutoHyphens/>
      <w:spacing w:before="240"/>
      <w:ind w:left="2016"/>
      <w:jc w:val="both"/>
    </w:pPr>
  </w:style>
  <w:style w:type="paragraph" w:customStyle="1" w:styleId="TB5">
    <w:name w:val="TB5"/>
    <w:basedOn w:val="Normal"/>
    <w:next w:val="PR5"/>
    <w:rsid w:val="00774640"/>
    <w:pPr>
      <w:suppressAutoHyphens/>
      <w:spacing w:before="240"/>
      <w:ind w:left="2592"/>
      <w:jc w:val="both"/>
    </w:pPr>
  </w:style>
  <w:style w:type="paragraph" w:customStyle="1" w:styleId="TCH">
    <w:name w:val="TCH"/>
    <w:basedOn w:val="Normal"/>
    <w:rsid w:val="00774640"/>
    <w:pPr>
      <w:suppressAutoHyphens/>
    </w:pPr>
  </w:style>
  <w:style w:type="paragraph" w:customStyle="1" w:styleId="TCE">
    <w:name w:val="TCE"/>
    <w:basedOn w:val="Normal"/>
    <w:rsid w:val="00774640"/>
    <w:pPr>
      <w:suppressAutoHyphens/>
      <w:ind w:left="144" w:hanging="144"/>
    </w:pPr>
  </w:style>
  <w:style w:type="paragraph" w:customStyle="1" w:styleId="EOS">
    <w:name w:val="EOS"/>
    <w:basedOn w:val="Normal"/>
    <w:rsid w:val="00774640"/>
    <w:pPr>
      <w:suppressAutoHyphens/>
      <w:spacing w:before="240"/>
      <w:jc w:val="both"/>
    </w:pPr>
  </w:style>
  <w:style w:type="paragraph" w:customStyle="1" w:styleId="CMT">
    <w:name w:val="CMT"/>
    <w:basedOn w:val="Normal"/>
    <w:rsid w:val="00774640"/>
    <w:pPr>
      <w:suppressAutoHyphens/>
      <w:spacing w:before="240"/>
      <w:jc w:val="both"/>
    </w:pPr>
    <w:rPr>
      <w:vanish/>
      <w:color w:val="0000FF"/>
    </w:rPr>
  </w:style>
  <w:style w:type="character" w:customStyle="1" w:styleId="SI">
    <w:name w:val="SI"/>
    <w:basedOn w:val="DefaultParagraphFont"/>
    <w:rsid w:val="00774640"/>
    <w:rPr>
      <w:color w:val="auto"/>
    </w:rPr>
  </w:style>
  <w:style w:type="character" w:customStyle="1" w:styleId="IP">
    <w:name w:val="IP"/>
    <w:basedOn w:val="DefaultParagraphFont"/>
    <w:rsid w:val="00774640"/>
    <w:rPr>
      <w:color w:val="000000"/>
    </w:rPr>
  </w:style>
  <w:style w:type="paragraph" w:styleId="Header">
    <w:name w:val="header"/>
    <w:basedOn w:val="Normal"/>
    <w:rsid w:val="00774640"/>
    <w:pPr>
      <w:tabs>
        <w:tab w:val="center" w:pos="4320"/>
        <w:tab w:val="right" w:pos="8640"/>
      </w:tabs>
    </w:pPr>
  </w:style>
  <w:style w:type="paragraph" w:styleId="Footer">
    <w:name w:val="footer"/>
    <w:basedOn w:val="Normal"/>
    <w:rsid w:val="00774640"/>
    <w:pPr>
      <w:tabs>
        <w:tab w:val="center" w:pos="4320"/>
        <w:tab w:val="right" w:pos="8640"/>
      </w:tabs>
    </w:pPr>
  </w:style>
  <w:style w:type="paragraph" w:styleId="Title">
    <w:name w:val="Title"/>
    <w:basedOn w:val="Normal"/>
    <w:qFormat/>
    <w:rsid w:val="00774640"/>
    <w:pPr>
      <w:jc w:val="center"/>
    </w:pPr>
    <w:rPr>
      <w:b/>
      <w:sz w:val="24"/>
      <w:u w:val="single"/>
    </w:rPr>
  </w:style>
  <w:style w:type="paragraph" w:styleId="BodyText">
    <w:name w:val="Body Text"/>
    <w:basedOn w:val="Normal"/>
    <w:rsid w:val="00774640"/>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F904530-5C22-4E63-AAC5-049E717AA9F4}"/>
</file>

<file path=customXml/itemProps2.xml><?xml version="1.0" encoding="utf-8"?>
<ds:datastoreItem xmlns:ds="http://schemas.openxmlformats.org/officeDocument/2006/customXml" ds:itemID="{CA621D20-77DF-4069-B63E-736385B58359}"/>
</file>

<file path=customXml/itemProps3.xml><?xml version="1.0" encoding="utf-8"?>
<ds:datastoreItem xmlns:ds="http://schemas.openxmlformats.org/officeDocument/2006/customXml" ds:itemID="{B1B2D17A-9D16-4574-BFD0-B5072B30836C}"/>
</file>

<file path=docProps/app.xml><?xml version="1.0" encoding="utf-8"?>
<Properties xmlns="http://schemas.openxmlformats.org/officeDocument/2006/extended-properties" xmlns:vt="http://schemas.openxmlformats.org/officeDocument/2006/docPropsVTypes">
  <Template>Normal</Template>
  <TotalTime>6</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15415 - DRINKING FOUNTAINS AND WATER COOLERS</vt:lpstr>
    </vt:vector>
  </TitlesOfParts>
  <Company>ARCOM, Inc.</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15415 - DRINKING FOUNTAINS AND WATER COOLERS</dc:title>
  <dc:subject>DRINKING FOUNTAINS AND WATER COOLERS</dc:subject>
  <dc:creator>ARCOM, Inc.</dc:creator>
  <cp:keywords>BAS-12345-MS80</cp:keywords>
  <cp:lastModifiedBy>Jimmy Myers</cp:lastModifiedBy>
  <cp:revision>14</cp:revision>
  <cp:lastPrinted>2003-06-02T17:59:00Z</cp:lastPrinted>
  <dcterms:created xsi:type="dcterms:W3CDTF">2009-09-28T18:11:00Z</dcterms:created>
  <dcterms:modified xsi:type="dcterms:W3CDTF">2025-04-14T14:27:00Z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