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71" w:rsidRDefault="00304D71">
      <w:pPr>
        <w:pStyle w:val="SCT"/>
        <w:suppressAutoHyphens w:val="0"/>
        <w:spacing w:before="0"/>
        <w:rPr>
          <w:sz w:val="20"/>
        </w:rPr>
      </w:pPr>
      <w:bookmarkStart w:id="0" w:name="_GoBack"/>
      <w:bookmarkEnd w:id="0"/>
      <w:r>
        <w:rPr>
          <w:sz w:val="20"/>
        </w:rPr>
        <w:t>SECTION 02000 – Project special provisions</w:t>
      </w:r>
    </w:p>
    <w:p w:rsidR="00304D71" w:rsidRDefault="00304D71">
      <w:pPr>
        <w:pStyle w:val="PRT"/>
        <w:suppressAutoHyphens w:val="0"/>
        <w:spacing w:before="240"/>
        <w:outlineLvl w:val="9"/>
        <w:rPr>
          <w:sz w:val="20"/>
        </w:rPr>
      </w:pPr>
      <w:r>
        <w:rPr>
          <w:sz w:val="20"/>
        </w:rPr>
        <w:t>GENERAL</w:t>
      </w:r>
    </w:p>
    <w:p w:rsidR="00304D71" w:rsidRDefault="00304D71">
      <w:pPr>
        <w:pStyle w:val="DST"/>
        <w:numPr>
          <w:ilvl w:val="3"/>
          <w:numId w:val="38"/>
        </w:numPr>
        <w:tabs>
          <w:tab w:val="clear" w:pos="864"/>
        </w:tabs>
        <w:ind w:left="720" w:hanging="720"/>
        <w:rPr>
          <w:sz w:val="20"/>
        </w:rPr>
      </w:pPr>
      <w:r>
        <w:rPr>
          <w:sz w:val="20"/>
        </w:rPr>
        <w:t>SUMMARY</w:t>
      </w:r>
    </w:p>
    <w:p w:rsidR="00304D71" w:rsidRDefault="00304D71">
      <w:pPr>
        <w:pStyle w:val="PR1"/>
        <w:tabs>
          <w:tab w:val="clear" w:pos="864"/>
        </w:tabs>
        <w:spacing w:before="0"/>
        <w:ind w:left="720" w:hanging="540"/>
        <w:outlineLvl w:val="9"/>
        <w:rPr>
          <w:sz w:val="20"/>
        </w:rPr>
      </w:pPr>
      <w:r>
        <w:rPr>
          <w:sz w:val="20"/>
        </w:rPr>
        <w:t xml:space="preserve">The following project special provisions and/or revisions to Lowe’s Division 2 Standard Site Specifications shall be followed in strict accordance, with the below referenced requirements, during proposed construction.  Project Special Provisions shall supersede standard specification requirements following Lowe’s approval and shall be provided/printed and forwarded on yellow correspondence.  Conformance submittals shall be revised as required to meet governing authority requirements/specifications. </w:t>
      </w:r>
    </w:p>
    <w:p w:rsidR="00304D71" w:rsidRDefault="00304D71">
      <w:pPr>
        <w:pStyle w:val="PRT"/>
        <w:suppressAutoHyphens w:val="0"/>
        <w:spacing w:before="240"/>
        <w:outlineLvl w:val="9"/>
        <w:rPr>
          <w:sz w:val="20"/>
        </w:rPr>
      </w:pPr>
      <w:r>
        <w:rPr>
          <w:sz w:val="20"/>
        </w:rPr>
        <w:t>REVISIONS AND ADDITIONS TO STANDARD SPECIFICATIONS</w:t>
      </w:r>
    </w:p>
    <w:p w:rsidR="00304D71" w:rsidRDefault="00304D71">
      <w:pPr>
        <w:pStyle w:val="DST"/>
        <w:numPr>
          <w:ilvl w:val="3"/>
          <w:numId w:val="38"/>
        </w:numPr>
        <w:tabs>
          <w:tab w:val="clear" w:pos="864"/>
        </w:tabs>
        <w:ind w:left="720" w:hanging="720"/>
        <w:rPr>
          <w:sz w:val="20"/>
        </w:rPr>
      </w:pPr>
      <w:r>
        <w:rPr>
          <w:sz w:val="20"/>
        </w:rPr>
        <w:t>Storm Water Pollution Prevention Plan</w:t>
      </w:r>
    </w:p>
    <w:p w:rsidR="00304D71" w:rsidRDefault="0060191E">
      <w:pPr>
        <w:pStyle w:val="PR1"/>
        <w:tabs>
          <w:tab w:val="clear" w:pos="864"/>
        </w:tabs>
        <w:spacing w:before="0"/>
        <w:ind w:left="720" w:hanging="540"/>
        <w:outlineLvl w:val="9"/>
        <w:rPr>
          <w:sz w:val="20"/>
        </w:rPr>
      </w:pPr>
      <w:r>
        <w:rPr>
          <w:sz w:val="20"/>
        </w:rPr>
        <w:t xml:space="preserve">A site </w:t>
      </w:r>
      <w:r w:rsidR="00304D71">
        <w:rPr>
          <w:sz w:val="20"/>
        </w:rPr>
        <w:t xml:space="preserve">specific Storm Water Pollution Prevention Plan </w:t>
      </w:r>
      <w:r>
        <w:rPr>
          <w:sz w:val="20"/>
        </w:rPr>
        <w:t xml:space="preserve">for Lowe’s of [insert name and state of project] has been prepared </w:t>
      </w:r>
      <w:r w:rsidR="00304D71">
        <w:rPr>
          <w:sz w:val="20"/>
        </w:rPr>
        <w:t>in accordance with Lowe’s Development Criteria Section 800</w:t>
      </w:r>
      <w:r>
        <w:rPr>
          <w:sz w:val="20"/>
        </w:rPr>
        <w:t xml:space="preserve"> and [insert name of governing NPDES Stormwater General Permit for Construction Activities] and is included after Section 02000 – Project Special Provisions and shall be considered part of the contract documents.</w:t>
      </w:r>
      <w:r w:rsidR="00304D71">
        <w:rPr>
          <w:sz w:val="20"/>
        </w:rPr>
        <w:t>.</w:t>
      </w:r>
    </w:p>
    <w:p w:rsidR="00304D71" w:rsidRDefault="00304D71">
      <w:pPr>
        <w:pStyle w:val="ART"/>
        <w:rPr>
          <w:sz w:val="20"/>
        </w:rPr>
      </w:pPr>
      <w:r>
        <w:rPr>
          <w:sz w:val="20"/>
        </w:rPr>
        <w:t xml:space="preserve"> (All italicized items shown below this point are for </w:t>
      </w:r>
      <w:r>
        <w:rPr>
          <w:sz w:val="20"/>
          <w:u w:val="single"/>
        </w:rPr>
        <w:t>format and reference only</w:t>
      </w:r>
      <w:r>
        <w:rPr>
          <w:sz w:val="20"/>
        </w:rPr>
        <w:t xml:space="preserve"> and shall be removed and deleted prior to issuance of Project Special Provisions.)  </w:t>
      </w:r>
    </w:p>
    <w:p w:rsidR="00304D71" w:rsidRDefault="00304D71">
      <w:pPr>
        <w:pStyle w:val="ART"/>
        <w:rPr>
          <w:sz w:val="20"/>
        </w:rPr>
      </w:pPr>
      <w:r>
        <w:rPr>
          <w:sz w:val="20"/>
        </w:rPr>
        <w:t>SECTION 02305 - TRENCH EXCAVATION AND BACKFILL, Article 3.02, Item J</w:t>
      </w:r>
    </w:p>
    <w:p w:rsidR="00304D71" w:rsidRDefault="00304D71">
      <w:pPr>
        <w:rPr>
          <w:i/>
          <w:sz w:val="20"/>
        </w:rPr>
      </w:pPr>
      <w:r>
        <w:rPr>
          <w:i/>
          <w:sz w:val="20"/>
        </w:rPr>
        <w:t xml:space="preserve">Shall be revised to read: </w:t>
      </w:r>
      <w:r>
        <w:rPr>
          <w:b/>
          <w:i/>
          <w:sz w:val="20"/>
        </w:rPr>
        <w:t>(Use bold print to identify revisions to Standard Specification)</w:t>
      </w:r>
    </w:p>
    <w:p w:rsidR="00304D71" w:rsidRDefault="00304D71">
      <w:pPr>
        <w:pStyle w:val="PR2"/>
        <w:suppressAutoHyphens w:val="0"/>
        <w:spacing w:before="240"/>
        <w:outlineLvl w:val="9"/>
        <w:rPr>
          <w:i/>
          <w:sz w:val="20"/>
        </w:rPr>
      </w:pPr>
      <w:r>
        <w:rPr>
          <w:i/>
          <w:sz w:val="20"/>
        </w:rPr>
        <w:t xml:space="preserve">Water Mains:  </w:t>
      </w:r>
      <w:r>
        <w:rPr>
          <w:b/>
          <w:i/>
          <w:sz w:val="20"/>
        </w:rPr>
        <w:t>60</w:t>
      </w:r>
      <w:r>
        <w:rPr>
          <w:i/>
          <w:sz w:val="20"/>
        </w:rPr>
        <w:t xml:space="preserve"> inches to top of pipe barrel or 6 inches below the frost line (established by the regulatory authorities having jurisdiction ), whichever is deeper, or as specified on the plans;</w:t>
      </w:r>
    </w:p>
    <w:p w:rsidR="00304D71" w:rsidRDefault="00304D71">
      <w:pPr>
        <w:pStyle w:val="PR2"/>
        <w:numPr>
          <w:ilvl w:val="0"/>
          <w:numId w:val="0"/>
        </w:numPr>
        <w:suppressAutoHyphens w:val="0"/>
        <w:spacing w:before="240"/>
        <w:ind w:left="864"/>
        <w:jc w:val="left"/>
        <w:outlineLvl w:val="9"/>
        <w:rPr>
          <w:i/>
          <w:sz w:val="20"/>
        </w:rPr>
      </w:pPr>
      <w:r>
        <w:rPr>
          <w:i/>
          <w:sz w:val="20"/>
        </w:rPr>
        <w:t>(For example only – 60 inches provided in lieu of Lowe’s Standard Specification of 42 inches for water main coverage)</w:t>
      </w:r>
    </w:p>
    <w:p w:rsidR="00304D71" w:rsidRDefault="00304D71">
      <w:pPr>
        <w:pStyle w:val="ART"/>
        <w:rPr>
          <w:sz w:val="20"/>
        </w:rPr>
      </w:pPr>
      <w:r>
        <w:rPr>
          <w:sz w:val="20"/>
        </w:rPr>
        <w:t>SECTION 02741- HOT-MIX ASPHALT PAVING, Article 3.05, Item E</w:t>
      </w:r>
    </w:p>
    <w:p w:rsidR="00304D71" w:rsidRDefault="00304D71">
      <w:pPr>
        <w:rPr>
          <w:i/>
          <w:sz w:val="20"/>
        </w:rPr>
      </w:pPr>
      <w:r>
        <w:rPr>
          <w:i/>
          <w:sz w:val="20"/>
        </w:rPr>
        <w:t xml:space="preserve">Add: </w:t>
      </w:r>
      <w:r>
        <w:rPr>
          <w:b/>
          <w:i/>
          <w:sz w:val="20"/>
        </w:rPr>
        <w:t>(Use bold print to identify information added to Standard Specification)</w:t>
      </w:r>
    </w:p>
    <w:p w:rsidR="00304D71" w:rsidRDefault="00304D71">
      <w:pPr>
        <w:pStyle w:val="PR1"/>
        <w:numPr>
          <w:ilvl w:val="0"/>
          <w:numId w:val="36"/>
        </w:numPr>
        <w:rPr>
          <w:i/>
          <w:sz w:val="20"/>
        </w:rPr>
      </w:pPr>
      <w:r>
        <w:rPr>
          <w:i/>
          <w:sz w:val="20"/>
        </w:rPr>
        <w:t xml:space="preserve">Density:  Compare density of in-place material against laboratory specimen of same mixture, subjected to 50 blows of a Standard Marshall hammer on each side of specimen.  </w:t>
      </w:r>
      <w:r>
        <w:rPr>
          <w:b/>
          <w:i/>
          <w:sz w:val="20"/>
        </w:rPr>
        <w:t>Densities for in-place surface course materials shall be compared to the laboratory specimen of same mixture, subjected to 75 blows of a Standard Marshall hammer on each side of the specimen.</w:t>
      </w:r>
      <w:r>
        <w:rPr>
          <w:i/>
          <w:sz w:val="20"/>
        </w:rPr>
        <w:t xml:space="preserve">  Minimum acceptable density of in-place material shall be 95% of recorded laboratory specimen density.  </w:t>
      </w:r>
    </w:p>
    <w:p w:rsidR="00304D71" w:rsidRDefault="00304D71">
      <w:pPr>
        <w:pStyle w:val="PR2"/>
        <w:numPr>
          <w:ilvl w:val="0"/>
          <w:numId w:val="0"/>
        </w:numPr>
        <w:rPr>
          <w:i/>
          <w:sz w:val="20"/>
        </w:rPr>
      </w:pPr>
    </w:p>
    <w:p w:rsidR="00304D71" w:rsidRDefault="00304D71">
      <w:pPr>
        <w:pStyle w:val="PR2"/>
        <w:numPr>
          <w:ilvl w:val="0"/>
          <w:numId w:val="0"/>
        </w:numPr>
        <w:outlineLvl w:val="9"/>
        <w:rPr>
          <w:i/>
          <w:sz w:val="20"/>
          <w:u w:val="single"/>
        </w:rPr>
      </w:pPr>
      <w:r>
        <w:rPr>
          <w:i/>
          <w:sz w:val="20"/>
          <w:u w:val="single"/>
        </w:rPr>
        <w:t>SECTION 02000A</w:t>
      </w:r>
      <w:r>
        <w:rPr>
          <w:i/>
          <w:sz w:val="20"/>
          <w:u w:val="single"/>
        </w:rPr>
        <w:tab/>
        <w:t>SOIL CEMENT STABILIZATION</w:t>
      </w:r>
    </w:p>
    <w:p w:rsidR="00304D71" w:rsidRDefault="00304D71">
      <w:pPr>
        <w:pStyle w:val="PR2"/>
        <w:numPr>
          <w:ilvl w:val="0"/>
          <w:numId w:val="0"/>
        </w:numPr>
        <w:rPr>
          <w:i/>
          <w:sz w:val="20"/>
          <w:u w:val="single"/>
        </w:rPr>
      </w:pPr>
      <w:r>
        <w:rPr>
          <w:i/>
          <w:sz w:val="20"/>
        </w:rPr>
        <w:t>PROVIDE SPECIFICATION</w:t>
      </w:r>
      <w:r>
        <w:rPr>
          <w:i/>
          <w:sz w:val="20"/>
          <w:u w:val="single"/>
        </w:rPr>
        <w:t xml:space="preserve"> </w:t>
      </w:r>
    </w:p>
    <w:p w:rsidR="00304D71" w:rsidRDefault="00304D71">
      <w:pPr>
        <w:pStyle w:val="PR2"/>
        <w:numPr>
          <w:ilvl w:val="0"/>
          <w:numId w:val="0"/>
        </w:numPr>
        <w:rPr>
          <w:i/>
          <w:sz w:val="20"/>
          <w:u w:val="single"/>
        </w:rPr>
      </w:pPr>
    </w:p>
    <w:p w:rsidR="00304D71" w:rsidRDefault="00304D71">
      <w:pPr>
        <w:pStyle w:val="PR2"/>
        <w:numPr>
          <w:ilvl w:val="0"/>
          <w:numId w:val="0"/>
        </w:numPr>
        <w:rPr>
          <w:i/>
          <w:sz w:val="20"/>
          <w:u w:val="single"/>
        </w:rPr>
      </w:pPr>
      <w:r>
        <w:rPr>
          <w:i/>
          <w:sz w:val="20"/>
          <w:u w:val="single"/>
        </w:rPr>
        <w:t>SECTION 02000B</w:t>
      </w:r>
      <w:r>
        <w:rPr>
          <w:i/>
          <w:sz w:val="20"/>
          <w:u w:val="single"/>
        </w:rPr>
        <w:tab/>
        <w:t>UNDERGROUND STORMWATER DETENTION</w:t>
      </w:r>
    </w:p>
    <w:p w:rsidR="00304D71" w:rsidRDefault="00304D71">
      <w:pPr>
        <w:pStyle w:val="PR2"/>
        <w:numPr>
          <w:ilvl w:val="0"/>
          <w:numId w:val="0"/>
        </w:numPr>
        <w:rPr>
          <w:i/>
          <w:sz w:val="20"/>
        </w:rPr>
      </w:pPr>
      <w:r>
        <w:rPr>
          <w:i/>
          <w:sz w:val="20"/>
        </w:rPr>
        <w:t>PROVIDE SPECIFICATION</w:t>
      </w:r>
    </w:p>
    <w:p w:rsidR="00304D71" w:rsidRDefault="00304D71">
      <w:pPr>
        <w:pStyle w:val="EOS"/>
      </w:pPr>
      <w:r>
        <w:t>END OF SECTION 02000</w:t>
      </w:r>
    </w:p>
    <w:sectPr w:rsidR="00304D71" w:rsidSect="00A100D7">
      <w:headerReference w:type="default" r:id="rId7"/>
      <w:footerReference w:type="default" r:id="rId8"/>
      <w:endnotePr>
        <w:numFmt w:val="decimal"/>
      </w:endnotePr>
      <w:pgSz w:w="12240" w:h="15840"/>
      <w:pgMar w:top="1152"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DC1" w:rsidRDefault="00701DC1">
      <w:r>
        <w:separator/>
      </w:r>
    </w:p>
  </w:endnote>
  <w:endnote w:type="continuationSeparator" w:id="0">
    <w:p w:rsidR="00701DC1" w:rsidRDefault="0070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D71" w:rsidRDefault="00304D71">
    <w:pPr>
      <w:pStyle w:val="FTR"/>
      <w:rPr>
        <w:rStyle w:val="PageNumber"/>
        <w:caps w:val="0"/>
        <w:noProof w:val="0"/>
        <w:sz w:val="20"/>
      </w:rPr>
    </w:pPr>
    <w:r>
      <w:rPr>
        <w:sz w:val="20"/>
      </w:rPr>
      <w:t>project special provisions</w:t>
    </w:r>
    <w:r>
      <w:rPr>
        <w:sz w:val="20"/>
      </w:rPr>
      <w:tab/>
      <w:t>02000-</w:t>
    </w:r>
    <w:r w:rsidR="00273681">
      <w:rPr>
        <w:rStyle w:val="PageNumber"/>
        <w:caps w:val="0"/>
        <w:noProof w:val="0"/>
        <w:sz w:val="20"/>
      </w:rPr>
      <w:fldChar w:fldCharType="begin"/>
    </w:r>
    <w:r>
      <w:rPr>
        <w:rStyle w:val="PageNumber"/>
        <w:caps w:val="0"/>
        <w:noProof w:val="0"/>
        <w:sz w:val="20"/>
      </w:rPr>
      <w:instrText xml:space="preserve"> PAGE </w:instrText>
    </w:r>
    <w:r w:rsidR="00273681">
      <w:rPr>
        <w:rStyle w:val="PageNumber"/>
        <w:caps w:val="0"/>
        <w:noProof w:val="0"/>
        <w:sz w:val="20"/>
      </w:rPr>
      <w:fldChar w:fldCharType="separate"/>
    </w:r>
    <w:r w:rsidR="008308E0">
      <w:rPr>
        <w:rStyle w:val="PageNumber"/>
        <w:caps w:val="0"/>
        <w:sz w:val="20"/>
      </w:rPr>
      <w:t>1</w:t>
    </w:r>
    <w:r w:rsidR="00273681">
      <w:rPr>
        <w:rStyle w:val="PageNumber"/>
        <w:caps w:val="0"/>
        <w:noProof w:val="0"/>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DC1" w:rsidRDefault="00701DC1">
      <w:r>
        <w:separator/>
      </w:r>
    </w:p>
  </w:footnote>
  <w:footnote w:type="continuationSeparator" w:id="0">
    <w:p w:rsidR="00701DC1" w:rsidRDefault="00701D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D71" w:rsidRDefault="00822AAB">
    <w:pPr>
      <w:pStyle w:val="HDR"/>
      <w:rPr>
        <w:sz w:val="20"/>
      </w:rPr>
    </w:pPr>
    <w:r w:rsidRPr="00822AAB">
      <w:rPr>
        <w:sz w:val="20"/>
      </w:rPr>
      <w:t>LOWE’S OF WESTLAKE, FL.</w:t>
    </w:r>
    <w:r w:rsidR="00304D71">
      <w:rPr>
        <w:sz w:val="20"/>
      </w:rPr>
      <w:tab/>
    </w:r>
    <w:r w:rsidR="00304D71">
      <w:rPr>
        <w:sz w:val="20"/>
      </w:rPr>
      <w:tab/>
    </w:r>
    <w:r w:rsidR="000957EA">
      <w:rPr>
        <w:sz w:val="20"/>
      </w:rPr>
      <w:t>06</w:t>
    </w:r>
    <w:r w:rsidR="00001467">
      <w:rPr>
        <w:sz w:val="20"/>
      </w:rPr>
      <w:t>/2012</w:t>
    </w:r>
  </w:p>
  <w:p w:rsidR="00304D71" w:rsidRDefault="00304D71">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1EC6D5C"/>
    <w:name w:val="MASTERSPEC"/>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15:restartNumberingAfterBreak="0">
    <w:nsid w:val="0CD156A6"/>
    <w:multiLevelType w:val="singleLevel"/>
    <w:tmpl w:val="E17E2C1C"/>
    <w:lvl w:ilvl="0">
      <w:start w:val="5"/>
      <w:numFmt w:val="upperLetter"/>
      <w:lvlText w:val="%1."/>
      <w:lvlJc w:val="left"/>
      <w:pPr>
        <w:tabs>
          <w:tab w:val="num" w:pos="723"/>
        </w:tabs>
        <w:ind w:left="723" w:hanging="435"/>
      </w:pPr>
      <w:rPr>
        <w:rFonts w:hint="default"/>
      </w:rPr>
    </w:lvl>
  </w:abstractNum>
  <w:abstractNum w:abstractNumId="2" w15:restartNumberingAfterBreak="0">
    <w:nsid w:val="0D356C99"/>
    <w:multiLevelType w:val="singleLevel"/>
    <w:tmpl w:val="C0B8EAC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826605"/>
    <w:multiLevelType w:val="singleLevel"/>
    <w:tmpl w:val="300EFC1E"/>
    <w:lvl w:ilvl="0">
      <w:start w:val="1"/>
      <w:numFmt w:val="decimal"/>
      <w:lvlText w:val="%1."/>
      <w:lvlJc w:val="left"/>
      <w:pPr>
        <w:tabs>
          <w:tab w:val="num" w:pos="360"/>
        </w:tabs>
        <w:ind w:left="360" w:hanging="360"/>
      </w:pPr>
    </w:lvl>
  </w:abstractNum>
  <w:abstractNum w:abstractNumId="4" w15:restartNumberingAfterBreak="0">
    <w:nsid w:val="22D171DC"/>
    <w:multiLevelType w:val="singleLevel"/>
    <w:tmpl w:val="96D2A3D4"/>
    <w:lvl w:ilvl="0">
      <w:start w:val="1"/>
      <w:numFmt w:val="upperLetter"/>
      <w:lvlText w:val="%1."/>
      <w:lvlJc w:val="left"/>
      <w:pPr>
        <w:tabs>
          <w:tab w:val="num" w:pos="1440"/>
        </w:tabs>
        <w:ind w:left="1440" w:hanging="720"/>
      </w:pPr>
      <w:rPr>
        <w:rFonts w:hint="default"/>
      </w:rPr>
    </w:lvl>
  </w:abstractNum>
  <w:abstractNum w:abstractNumId="5" w15:restartNumberingAfterBreak="0">
    <w:nsid w:val="23B2137E"/>
    <w:multiLevelType w:val="singleLevel"/>
    <w:tmpl w:val="C0B8EA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BC1F1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F776A2D"/>
    <w:multiLevelType w:val="singleLevel"/>
    <w:tmpl w:val="30547B8C"/>
    <w:lvl w:ilvl="0">
      <w:start w:val="1"/>
      <w:numFmt w:val="decimal"/>
      <w:lvlText w:val="%1."/>
      <w:lvlJc w:val="left"/>
      <w:pPr>
        <w:tabs>
          <w:tab w:val="num" w:pos="360"/>
        </w:tabs>
        <w:ind w:left="360" w:hanging="360"/>
      </w:pPr>
    </w:lvl>
  </w:abstractNum>
  <w:abstractNum w:abstractNumId="8" w15:restartNumberingAfterBreak="0">
    <w:nsid w:val="40507FBF"/>
    <w:multiLevelType w:val="singleLevel"/>
    <w:tmpl w:val="178A754E"/>
    <w:lvl w:ilvl="0">
      <w:start w:val="2"/>
      <w:numFmt w:val="upperLetter"/>
      <w:lvlText w:val="%1."/>
      <w:lvlJc w:val="left"/>
      <w:pPr>
        <w:tabs>
          <w:tab w:val="num" w:pos="1440"/>
        </w:tabs>
        <w:ind w:left="1440" w:hanging="720"/>
      </w:pPr>
      <w:rPr>
        <w:rFonts w:hint="default"/>
      </w:rPr>
    </w:lvl>
  </w:abstractNum>
  <w:abstractNum w:abstractNumId="9" w15:restartNumberingAfterBreak="0">
    <w:nsid w:val="572F757C"/>
    <w:multiLevelType w:val="multilevel"/>
    <w:tmpl w:val="A90EEFD6"/>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CA0152C"/>
    <w:multiLevelType w:val="singleLevel"/>
    <w:tmpl w:val="C0B8EAC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7C6FD3"/>
    <w:multiLevelType w:val="multilevel"/>
    <w:tmpl w:val="B1D4A790"/>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lvlText w:val="%1.0%4"/>
      <w:lvlJc w:val="left"/>
      <w:pPr>
        <w:tabs>
          <w:tab w:val="num" w:pos="864"/>
        </w:tabs>
        <w:ind w:left="864" w:hanging="864"/>
      </w:pPr>
    </w:lvl>
    <w:lvl w:ilvl="4">
      <w:start w:val="1"/>
      <w:numFmt w:val="upperLetter"/>
      <w:pStyle w:val="PR1"/>
      <w:lvlText w:val="%5."/>
      <w:lvlJc w:val="left"/>
      <w:pPr>
        <w:tabs>
          <w:tab w:val="num" w:pos="864"/>
        </w:tabs>
        <w:ind w:left="864" w:hanging="576"/>
      </w:pPr>
      <w:rPr>
        <w:b w:val="0"/>
        <w:i w:val="0"/>
      </w:r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2" w15:restartNumberingAfterBreak="0">
    <w:nsid w:val="7F9D704D"/>
    <w:multiLevelType w:val="singleLevel"/>
    <w:tmpl w:val="C0B8EAC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5"/>
  </w:num>
  <w:num w:numId="3">
    <w:abstractNumId w:val="10"/>
  </w:num>
  <w:num w:numId="4">
    <w:abstractNumId w:val="12"/>
  </w:num>
  <w:num w:numId="5">
    <w:abstractNumId w:val="2"/>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3"/>
  </w:num>
  <w:num w:numId="35">
    <w:abstractNumId w:val="9"/>
  </w:num>
  <w:num w:numId="36">
    <w:abstractNumId w:val="1"/>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
  <w:rsids>
    <w:rsidRoot w:val="00015597"/>
    <w:rsid w:val="00001467"/>
    <w:rsid w:val="00015597"/>
    <w:rsid w:val="000957EA"/>
    <w:rsid w:val="001C2855"/>
    <w:rsid w:val="002238B6"/>
    <w:rsid w:val="00273681"/>
    <w:rsid w:val="00304D71"/>
    <w:rsid w:val="00367DC2"/>
    <w:rsid w:val="003F7211"/>
    <w:rsid w:val="0060191E"/>
    <w:rsid w:val="00605CDA"/>
    <w:rsid w:val="00701DC1"/>
    <w:rsid w:val="007B5F2B"/>
    <w:rsid w:val="00822AAB"/>
    <w:rsid w:val="008308E0"/>
    <w:rsid w:val="00A0529A"/>
    <w:rsid w:val="00A1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53E1835-CD24-46EE-979A-884A1060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0D7"/>
    <w:rPr>
      <w:sz w:val="22"/>
    </w:rPr>
  </w:style>
  <w:style w:type="paragraph" w:styleId="Heading1">
    <w:name w:val="heading 1"/>
    <w:basedOn w:val="Normal"/>
    <w:next w:val="Normal"/>
    <w:qFormat/>
    <w:rsid w:val="00A100D7"/>
    <w:pPr>
      <w:keepNext/>
      <w:jc w:val="both"/>
      <w:outlineLvl w:val="0"/>
    </w:pPr>
    <w:rPr>
      <w:rFonts w:ascii="Optima" w:hAnsi="Optima"/>
      <w:b/>
    </w:rPr>
  </w:style>
  <w:style w:type="paragraph" w:styleId="Heading2">
    <w:name w:val="heading 2"/>
    <w:basedOn w:val="Normal"/>
    <w:next w:val="Normal"/>
    <w:qFormat/>
    <w:rsid w:val="00A100D7"/>
    <w:pPr>
      <w:keepNext/>
      <w:tabs>
        <w:tab w:val="center" w:pos="4680"/>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autoRedefine/>
    <w:rsid w:val="00A100D7"/>
    <w:pPr>
      <w:suppressAutoHyphens/>
      <w:spacing w:before="480"/>
      <w:jc w:val="both"/>
      <w:outlineLvl w:val="1"/>
    </w:pPr>
    <w:rPr>
      <w:b/>
      <w:i/>
    </w:rPr>
  </w:style>
  <w:style w:type="paragraph" w:customStyle="1" w:styleId="CMT">
    <w:name w:val="CMT"/>
    <w:basedOn w:val="Normal"/>
    <w:rsid w:val="00A100D7"/>
    <w:pPr>
      <w:suppressAutoHyphens/>
      <w:spacing w:before="240"/>
      <w:jc w:val="both"/>
    </w:pPr>
    <w:rPr>
      <w:vanish/>
      <w:color w:val="0000FF"/>
    </w:rPr>
  </w:style>
  <w:style w:type="paragraph" w:customStyle="1" w:styleId="DST">
    <w:name w:val="DST"/>
    <w:basedOn w:val="Normal"/>
    <w:next w:val="Normal"/>
    <w:rsid w:val="00A100D7"/>
    <w:pPr>
      <w:numPr>
        <w:ilvl w:val="2"/>
        <w:numId w:val="38"/>
      </w:numPr>
      <w:suppressAutoHyphens/>
      <w:spacing w:before="240"/>
      <w:jc w:val="both"/>
      <w:outlineLvl w:val="0"/>
    </w:pPr>
  </w:style>
  <w:style w:type="paragraph" w:customStyle="1" w:styleId="EOS">
    <w:name w:val="EOS"/>
    <w:basedOn w:val="Normal"/>
    <w:autoRedefine/>
    <w:rsid w:val="00A100D7"/>
    <w:pPr>
      <w:spacing w:before="240"/>
      <w:jc w:val="center"/>
    </w:pPr>
    <w:rPr>
      <w:caps/>
      <w:sz w:val="20"/>
    </w:rPr>
  </w:style>
  <w:style w:type="paragraph" w:styleId="Footer">
    <w:name w:val="footer"/>
    <w:basedOn w:val="Normal"/>
    <w:rsid w:val="00A100D7"/>
    <w:pPr>
      <w:tabs>
        <w:tab w:val="center" w:pos="4320"/>
        <w:tab w:val="right" w:pos="8640"/>
      </w:tabs>
    </w:pPr>
  </w:style>
  <w:style w:type="paragraph" w:customStyle="1" w:styleId="FTR">
    <w:name w:val="FTR"/>
    <w:next w:val="Normal"/>
    <w:rsid w:val="00A100D7"/>
    <w:pPr>
      <w:tabs>
        <w:tab w:val="right" w:pos="9360"/>
      </w:tabs>
      <w:suppressAutoHyphens/>
      <w:jc w:val="both"/>
    </w:pPr>
    <w:rPr>
      <w:b/>
      <w:caps/>
      <w:noProof/>
      <w:sz w:val="22"/>
    </w:rPr>
  </w:style>
  <w:style w:type="paragraph" w:customStyle="1" w:styleId="HDR">
    <w:name w:val="HDR"/>
    <w:basedOn w:val="Normal"/>
    <w:next w:val="Normal"/>
    <w:rsid w:val="00A100D7"/>
    <w:pPr>
      <w:tabs>
        <w:tab w:val="center" w:pos="4608"/>
        <w:tab w:val="right" w:pos="9360"/>
      </w:tabs>
      <w:suppressAutoHyphens/>
      <w:jc w:val="both"/>
    </w:pPr>
    <w:rPr>
      <w:b/>
      <w:caps/>
    </w:rPr>
  </w:style>
  <w:style w:type="paragraph" w:styleId="Header">
    <w:name w:val="header"/>
    <w:basedOn w:val="Normal"/>
    <w:rsid w:val="00A100D7"/>
    <w:pPr>
      <w:tabs>
        <w:tab w:val="center" w:pos="4320"/>
        <w:tab w:val="right" w:pos="8640"/>
      </w:tabs>
    </w:pPr>
  </w:style>
  <w:style w:type="character" w:customStyle="1" w:styleId="IP">
    <w:name w:val="IP"/>
    <w:basedOn w:val="DefaultParagraphFont"/>
    <w:rsid w:val="00A100D7"/>
    <w:rPr>
      <w:color w:val="FF0000"/>
    </w:rPr>
  </w:style>
  <w:style w:type="paragraph" w:customStyle="1" w:styleId="PR1">
    <w:name w:val="PR1"/>
    <w:basedOn w:val="Normal"/>
    <w:rsid w:val="00A100D7"/>
    <w:pPr>
      <w:numPr>
        <w:ilvl w:val="4"/>
        <w:numId w:val="38"/>
      </w:numPr>
      <w:suppressAutoHyphens/>
      <w:spacing w:before="240"/>
      <w:jc w:val="both"/>
      <w:outlineLvl w:val="2"/>
    </w:pPr>
  </w:style>
  <w:style w:type="paragraph" w:customStyle="1" w:styleId="PR2">
    <w:name w:val="PR2"/>
    <w:basedOn w:val="Normal"/>
    <w:rsid w:val="00A100D7"/>
    <w:pPr>
      <w:numPr>
        <w:ilvl w:val="5"/>
        <w:numId w:val="38"/>
      </w:numPr>
      <w:suppressAutoHyphens/>
      <w:jc w:val="both"/>
      <w:outlineLvl w:val="3"/>
    </w:pPr>
  </w:style>
  <w:style w:type="paragraph" w:customStyle="1" w:styleId="PR3">
    <w:name w:val="PR3"/>
    <w:basedOn w:val="Normal"/>
    <w:rsid w:val="00A100D7"/>
    <w:pPr>
      <w:numPr>
        <w:ilvl w:val="6"/>
        <w:numId w:val="38"/>
      </w:numPr>
      <w:suppressAutoHyphens/>
      <w:jc w:val="both"/>
      <w:outlineLvl w:val="4"/>
    </w:pPr>
  </w:style>
  <w:style w:type="paragraph" w:customStyle="1" w:styleId="PR4">
    <w:name w:val="PR4"/>
    <w:basedOn w:val="Normal"/>
    <w:rsid w:val="00A100D7"/>
    <w:pPr>
      <w:numPr>
        <w:ilvl w:val="7"/>
        <w:numId w:val="38"/>
      </w:numPr>
      <w:suppressAutoHyphens/>
      <w:jc w:val="both"/>
      <w:outlineLvl w:val="5"/>
    </w:pPr>
  </w:style>
  <w:style w:type="paragraph" w:customStyle="1" w:styleId="PR5">
    <w:name w:val="PR5"/>
    <w:basedOn w:val="Normal"/>
    <w:rsid w:val="00A100D7"/>
    <w:pPr>
      <w:numPr>
        <w:ilvl w:val="8"/>
        <w:numId w:val="38"/>
      </w:numPr>
      <w:suppressAutoHyphens/>
      <w:jc w:val="both"/>
      <w:outlineLvl w:val="6"/>
    </w:pPr>
  </w:style>
  <w:style w:type="paragraph" w:customStyle="1" w:styleId="PRT">
    <w:name w:val="PRT"/>
    <w:basedOn w:val="Normal"/>
    <w:next w:val="ART"/>
    <w:rsid w:val="00A100D7"/>
    <w:pPr>
      <w:numPr>
        <w:numId w:val="38"/>
      </w:numPr>
      <w:suppressAutoHyphens/>
      <w:spacing w:before="480"/>
      <w:jc w:val="both"/>
      <w:outlineLvl w:val="0"/>
    </w:pPr>
  </w:style>
  <w:style w:type="paragraph" w:customStyle="1" w:styleId="SCT">
    <w:name w:val="SCT"/>
    <w:basedOn w:val="Normal"/>
    <w:next w:val="PRT"/>
    <w:autoRedefine/>
    <w:rsid w:val="00A100D7"/>
    <w:pPr>
      <w:suppressAutoHyphens/>
      <w:spacing w:before="240"/>
      <w:jc w:val="both"/>
    </w:pPr>
    <w:rPr>
      <w:b/>
      <w:caps/>
    </w:rPr>
  </w:style>
  <w:style w:type="character" w:customStyle="1" w:styleId="SI">
    <w:name w:val="SI"/>
    <w:basedOn w:val="DefaultParagraphFont"/>
    <w:rsid w:val="00A100D7"/>
    <w:rPr>
      <w:color w:val="008080"/>
    </w:rPr>
  </w:style>
  <w:style w:type="paragraph" w:customStyle="1" w:styleId="SUT">
    <w:name w:val="SUT"/>
    <w:basedOn w:val="Normal"/>
    <w:next w:val="PR1"/>
    <w:rsid w:val="00A100D7"/>
    <w:pPr>
      <w:numPr>
        <w:ilvl w:val="1"/>
        <w:numId w:val="38"/>
      </w:numPr>
      <w:suppressAutoHyphens/>
      <w:spacing w:before="240"/>
      <w:jc w:val="both"/>
      <w:outlineLvl w:val="0"/>
    </w:pPr>
  </w:style>
  <w:style w:type="paragraph" w:customStyle="1" w:styleId="TB1">
    <w:name w:val="TB1"/>
    <w:basedOn w:val="Normal"/>
    <w:next w:val="PR1"/>
    <w:rsid w:val="00A100D7"/>
    <w:pPr>
      <w:suppressAutoHyphens/>
      <w:spacing w:before="240"/>
      <w:ind w:left="288"/>
      <w:jc w:val="both"/>
    </w:pPr>
  </w:style>
  <w:style w:type="paragraph" w:customStyle="1" w:styleId="TB2">
    <w:name w:val="TB2"/>
    <w:basedOn w:val="Normal"/>
    <w:next w:val="PR2"/>
    <w:rsid w:val="00A100D7"/>
    <w:pPr>
      <w:suppressAutoHyphens/>
      <w:spacing w:before="240"/>
      <w:ind w:left="864"/>
      <w:jc w:val="both"/>
    </w:pPr>
  </w:style>
  <w:style w:type="paragraph" w:customStyle="1" w:styleId="TB3">
    <w:name w:val="TB3"/>
    <w:basedOn w:val="Normal"/>
    <w:next w:val="PR3"/>
    <w:rsid w:val="00A100D7"/>
    <w:pPr>
      <w:suppressAutoHyphens/>
      <w:spacing w:before="240"/>
      <w:ind w:left="1440"/>
      <w:jc w:val="both"/>
    </w:pPr>
  </w:style>
  <w:style w:type="paragraph" w:customStyle="1" w:styleId="TB4">
    <w:name w:val="TB4"/>
    <w:basedOn w:val="Normal"/>
    <w:next w:val="PR4"/>
    <w:rsid w:val="00A100D7"/>
    <w:pPr>
      <w:suppressAutoHyphens/>
      <w:spacing w:before="240"/>
      <w:ind w:left="2016"/>
      <w:jc w:val="both"/>
    </w:pPr>
  </w:style>
  <w:style w:type="paragraph" w:customStyle="1" w:styleId="TB5">
    <w:name w:val="TB5"/>
    <w:basedOn w:val="Normal"/>
    <w:next w:val="PR5"/>
    <w:rsid w:val="00A100D7"/>
    <w:pPr>
      <w:suppressAutoHyphens/>
      <w:spacing w:before="240"/>
      <w:ind w:left="2592"/>
      <w:jc w:val="both"/>
    </w:pPr>
  </w:style>
  <w:style w:type="paragraph" w:customStyle="1" w:styleId="TCE">
    <w:name w:val="TCE"/>
    <w:basedOn w:val="Normal"/>
    <w:rsid w:val="00A100D7"/>
    <w:pPr>
      <w:suppressAutoHyphens/>
      <w:ind w:left="144" w:hanging="144"/>
    </w:pPr>
  </w:style>
  <w:style w:type="paragraph" w:customStyle="1" w:styleId="TCH">
    <w:name w:val="TCH"/>
    <w:basedOn w:val="Normal"/>
    <w:rsid w:val="00A100D7"/>
    <w:pPr>
      <w:suppressAutoHyphens/>
    </w:pPr>
  </w:style>
  <w:style w:type="paragraph" w:styleId="TOC1">
    <w:name w:val="toc 1"/>
    <w:basedOn w:val="Normal"/>
    <w:next w:val="Normal"/>
    <w:autoRedefine/>
    <w:semiHidden/>
    <w:rsid w:val="00A100D7"/>
    <w:pPr>
      <w:widowControl w:val="0"/>
      <w:tabs>
        <w:tab w:val="left" w:pos="720"/>
        <w:tab w:val="left" w:pos="1440"/>
        <w:tab w:val="right" w:leader="dot" w:pos="9360"/>
      </w:tabs>
      <w:ind w:left="720" w:hanging="720"/>
      <w:outlineLvl w:val="2"/>
    </w:pPr>
    <w:rPr>
      <w:rFonts w:ascii="Arial" w:hAnsi="Arial"/>
      <w:b/>
      <w:snapToGrid w:val="0"/>
    </w:rPr>
  </w:style>
  <w:style w:type="paragraph" w:styleId="BodyTextIndent">
    <w:name w:val="Body Text Indent"/>
    <w:basedOn w:val="Normal"/>
    <w:rsid w:val="00A100D7"/>
    <w:pPr>
      <w:ind w:left="900"/>
      <w:jc w:val="both"/>
    </w:pPr>
  </w:style>
  <w:style w:type="character" w:customStyle="1" w:styleId="CPR">
    <w:name w:val="CPR"/>
    <w:basedOn w:val="DefaultParagraphFont"/>
    <w:rsid w:val="00A100D7"/>
  </w:style>
  <w:style w:type="character" w:styleId="PageNumber">
    <w:name w:val="page number"/>
    <w:basedOn w:val="DefaultParagraphFont"/>
    <w:rsid w:val="00A100D7"/>
  </w:style>
  <w:style w:type="character" w:customStyle="1" w:styleId="SPD">
    <w:name w:val="SPD"/>
    <w:basedOn w:val="DefaultParagraphFont"/>
    <w:rsid w:val="00A100D7"/>
  </w:style>
  <w:style w:type="character" w:customStyle="1" w:styleId="SPN">
    <w:name w:val="SPN"/>
    <w:basedOn w:val="DefaultParagraphFont"/>
    <w:rsid w:val="00A100D7"/>
  </w:style>
  <w:style w:type="character" w:styleId="CommentReference">
    <w:name w:val="annotation reference"/>
    <w:basedOn w:val="DefaultParagraphFont"/>
    <w:semiHidden/>
    <w:rsid w:val="00A100D7"/>
    <w:rPr>
      <w:sz w:val="16"/>
    </w:rPr>
  </w:style>
  <w:style w:type="paragraph" w:styleId="CommentText">
    <w:name w:val="annotation text"/>
    <w:basedOn w:val="Normal"/>
    <w:semiHidden/>
    <w:rsid w:val="00A100D7"/>
    <w:rPr>
      <w:sz w:val="20"/>
    </w:rPr>
  </w:style>
  <w:style w:type="paragraph" w:styleId="BalloonText">
    <w:name w:val="Balloon Text"/>
    <w:basedOn w:val="Normal"/>
    <w:semiHidden/>
    <w:rsid w:val="00601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79D972B3-A704-4DCE-98D3-3FD8B742077D}"/>
</file>

<file path=customXml/itemProps2.xml><?xml version="1.0" encoding="utf-8"?>
<ds:datastoreItem xmlns:ds="http://schemas.openxmlformats.org/officeDocument/2006/customXml" ds:itemID="{BE01BD99-12B8-4325-8A3E-BC31304B280C}"/>
</file>

<file path=customXml/itemProps3.xml><?xml version="1.0" encoding="utf-8"?>
<ds:datastoreItem xmlns:ds="http://schemas.openxmlformats.org/officeDocument/2006/customXml" ds:itemID="{5F6C5CC6-6F8B-449E-BAD4-16416CFD3F6B}"/>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02010</vt:lpstr>
    </vt:vector>
  </TitlesOfParts>
  <Company>Langan Eng And Env Srvcs, Inc.</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02010</dc:title>
  <dc:creator>Cathy Mirabella</dc:creator>
  <cp:lastModifiedBy>Lori Mech</cp:lastModifiedBy>
  <cp:revision>4</cp:revision>
  <cp:lastPrinted>2002-02-20T18:29:00Z</cp:lastPrinted>
  <dcterms:created xsi:type="dcterms:W3CDTF">2013-10-29T13:37:00Z</dcterms:created>
  <dcterms:modified xsi:type="dcterms:W3CDTF">2025-04-16T19:34:00Z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